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D36" w:rsidRDefault="00730D36" w:rsidP="00BA5754">
      <w:pPr>
        <w:autoSpaceDE w:val="0"/>
        <w:autoSpaceDN w:val="0"/>
        <w:rPr>
          <w:rFonts w:ascii="Arial" w:hAnsi="Arial" w:cs="Arial"/>
          <w:b/>
        </w:rPr>
      </w:pPr>
    </w:p>
    <w:p w:rsidR="00BA5754" w:rsidRDefault="00BA5754" w:rsidP="00BA5754">
      <w:pPr>
        <w:autoSpaceDE w:val="0"/>
        <w:autoSpaceDN w:val="0"/>
        <w:rPr>
          <w:rFonts w:ascii="Arial" w:hAnsi="Arial" w:cs="Arial"/>
          <w:b/>
        </w:rPr>
      </w:pPr>
      <w:r w:rsidRPr="00BA5754">
        <w:rPr>
          <w:rFonts w:ascii="Arial" w:hAnsi="Arial" w:cs="Arial"/>
          <w:b/>
        </w:rPr>
        <w:t>Demystifying ARC/RRCs</w:t>
      </w:r>
    </w:p>
    <w:p w:rsidR="00730D36" w:rsidRDefault="00730D36" w:rsidP="00730D36">
      <w:pPr>
        <w:rPr>
          <w:rFonts w:ascii="Arial" w:hAnsi="Arial" w:cs="Arial"/>
        </w:rPr>
      </w:pPr>
    </w:p>
    <w:p w:rsidR="00730D36" w:rsidRPr="00E71A40" w:rsidRDefault="00730D36" w:rsidP="00730D36">
      <w:pPr>
        <w:rPr>
          <w:rFonts w:ascii="Arial" w:hAnsi="Arial" w:cs="Arial"/>
          <w:i/>
        </w:rPr>
      </w:pPr>
      <w:r w:rsidRPr="00E71A40">
        <w:rPr>
          <w:rFonts w:ascii="Arial" w:hAnsi="Arial" w:cs="Arial"/>
          <w:i/>
        </w:rPr>
        <w:t>By: Michael Hart, Managing Partner, Merit Outsourcing Advisors, michael.hart@meritoutsourcing.ocm</w:t>
      </w:r>
    </w:p>
    <w:p w:rsidR="00730D36" w:rsidRPr="00E71A40" w:rsidRDefault="00730D36" w:rsidP="00730D36">
      <w:pPr>
        <w:rPr>
          <w:rFonts w:ascii="Arial" w:hAnsi="Arial" w:cs="Arial"/>
          <w:i/>
        </w:rPr>
      </w:pPr>
      <w:r w:rsidRPr="00E71A40">
        <w:rPr>
          <w:rFonts w:ascii="Arial" w:hAnsi="Arial" w:cs="Arial"/>
          <w:i/>
        </w:rPr>
        <w:t xml:space="preserve">and </w:t>
      </w:r>
    </w:p>
    <w:p w:rsidR="00730D36" w:rsidRPr="00E71A40" w:rsidRDefault="00730D36" w:rsidP="00730D36">
      <w:pPr>
        <w:pStyle w:val="PlainText"/>
        <w:rPr>
          <w:i/>
        </w:rPr>
      </w:pPr>
      <w:r w:rsidRPr="00E71A40">
        <w:rPr>
          <w:rFonts w:cs="Arial"/>
          <w:i/>
        </w:rPr>
        <w:t>Richard Austin,</w:t>
      </w:r>
      <w:r w:rsidRPr="00E71A40">
        <w:rPr>
          <w:i/>
        </w:rPr>
        <w:t xml:space="preserve"> Counsel, Deeth Williams Wall LLP, raustin@dww.com</w:t>
      </w:r>
    </w:p>
    <w:p w:rsidR="00730D36" w:rsidRPr="00BA5754" w:rsidRDefault="00730D36" w:rsidP="00BA5754">
      <w:pPr>
        <w:autoSpaceDE w:val="0"/>
        <w:autoSpaceDN w:val="0"/>
        <w:rPr>
          <w:rFonts w:ascii="Arial" w:hAnsi="Arial" w:cs="Arial"/>
          <w:b/>
        </w:rPr>
      </w:pPr>
    </w:p>
    <w:p w:rsidR="00BA5754" w:rsidRDefault="00BA5754" w:rsidP="00BA5754">
      <w:pPr>
        <w:autoSpaceDE w:val="0"/>
        <w:autoSpaceDN w:val="0"/>
        <w:rPr>
          <w:rFonts w:ascii="Arial" w:hAnsi="Arial" w:cs="Arial"/>
        </w:rPr>
      </w:pPr>
    </w:p>
    <w:p w:rsidR="00BA5754" w:rsidRDefault="00BA5754" w:rsidP="00BA5754">
      <w:pPr>
        <w:autoSpaceDE w:val="0"/>
        <w:autoSpaceDN w:val="0"/>
        <w:rPr>
          <w:rFonts w:ascii="Arial" w:hAnsi="Arial" w:cs="Arial"/>
        </w:rPr>
      </w:pPr>
      <w:r>
        <w:rPr>
          <w:rFonts w:ascii="Arial" w:hAnsi="Arial" w:cs="Arial"/>
        </w:rPr>
        <w:t>A popular method for managing outsourcing pricing</w:t>
      </w:r>
      <w:r w:rsidR="00AF0C14">
        <w:rPr>
          <w:rFonts w:ascii="Arial" w:hAnsi="Arial" w:cs="Arial"/>
        </w:rPr>
        <w:t xml:space="preserve"> that accommodates</w:t>
      </w:r>
      <w:r>
        <w:rPr>
          <w:rFonts w:ascii="Arial" w:hAnsi="Arial" w:cs="Arial"/>
        </w:rPr>
        <w:t xml:space="preserve"> volume fluctuations for the in scope services is known as the ARC/RRC method. This model </w:t>
      </w:r>
      <w:r w:rsidR="00174088">
        <w:rPr>
          <w:rFonts w:ascii="Arial" w:hAnsi="Arial" w:cs="Arial"/>
        </w:rPr>
        <w:t>has</w:t>
      </w:r>
      <w:r>
        <w:rPr>
          <w:rFonts w:ascii="Arial" w:hAnsi="Arial" w:cs="Arial"/>
        </w:rPr>
        <w:t xml:space="preserve"> applications across IT</w:t>
      </w:r>
      <w:r w:rsidR="00730D36">
        <w:rPr>
          <w:rFonts w:ascii="Arial" w:hAnsi="Arial" w:cs="Arial"/>
        </w:rPr>
        <w:t xml:space="preserve"> Infrastructure</w:t>
      </w:r>
      <w:r>
        <w:rPr>
          <w:rFonts w:ascii="Arial" w:hAnsi="Arial" w:cs="Arial"/>
        </w:rPr>
        <w:t>, A</w:t>
      </w:r>
      <w:r w:rsidR="00730D36">
        <w:rPr>
          <w:rFonts w:ascii="Arial" w:hAnsi="Arial" w:cs="Arial"/>
        </w:rPr>
        <w:t xml:space="preserve">pplication Development and Maintenance, and </w:t>
      </w:r>
      <w:r>
        <w:rPr>
          <w:rFonts w:ascii="Arial" w:hAnsi="Arial" w:cs="Arial"/>
        </w:rPr>
        <w:t>B</w:t>
      </w:r>
      <w:r w:rsidR="00730D36">
        <w:rPr>
          <w:rFonts w:ascii="Arial" w:hAnsi="Arial" w:cs="Arial"/>
        </w:rPr>
        <w:t xml:space="preserve">usiness </w:t>
      </w:r>
      <w:r>
        <w:rPr>
          <w:rFonts w:ascii="Arial" w:hAnsi="Arial" w:cs="Arial"/>
        </w:rPr>
        <w:t>P</w:t>
      </w:r>
      <w:r w:rsidR="00730D36">
        <w:rPr>
          <w:rFonts w:ascii="Arial" w:hAnsi="Arial" w:cs="Arial"/>
        </w:rPr>
        <w:t xml:space="preserve">rocess </w:t>
      </w:r>
      <w:r>
        <w:rPr>
          <w:rFonts w:ascii="Arial" w:hAnsi="Arial" w:cs="Arial"/>
        </w:rPr>
        <w:t>O</w:t>
      </w:r>
      <w:r w:rsidR="00730D36">
        <w:rPr>
          <w:rFonts w:ascii="Arial" w:hAnsi="Arial" w:cs="Arial"/>
        </w:rPr>
        <w:t>utsourcing</w:t>
      </w:r>
      <w:r>
        <w:rPr>
          <w:rFonts w:ascii="Arial" w:hAnsi="Arial" w:cs="Arial"/>
        </w:rPr>
        <w:t xml:space="preserve"> transactions globally</w:t>
      </w:r>
      <w:r w:rsidR="00730D36">
        <w:rPr>
          <w:rFonts w:ascii="Arial" w:hAnsi="Arial" w:cs="Arial"/>
        </w:rPr>
        <w:t>, and</w:t>
      </w:r>
      <w:r w:rsidR="000C641F">
        <w:rPr>
          <w:rFonts w:ascii="Arial" w:hAnsi="Arial" w:cs="Arial"/>
        </w:rPr>
        <w:t xml:space="preserve"> when implemented in a specific transaction, is intended to drive the right type of behaviour by the Customer and the Service Provider</w:t>
      </w:r>
      <w:r>
        <w:rPr>
          <w:rFonts w:ascii="Arial" w:hAnsi="Arial" w:cs="Arial"/>
        </w:rPr>
        <w:t xml:space="preserve">. The following summary provides a combined view from both the third party </w:t>
      </w:r>
      <w:r w:rsidR="00730D36">
        <w:rPr>
          <w:rFonts w:ascii="Arial" w:hAnsi="Arial" w:cs="Arial"/>
        </w:rPr>
        <w:t xml:space="preserve">outsourcing </w:t>
      </w:r>
      <w:r>
        <w:rPr>
          <w:rFonts w:ascii="Arial" w:hAnsi="Arial" w:cs="Arial"/>
        </w:rPr>
        <w:t>advisor and legal viewpoints</w:t>
      </w:r>
      <w:r w:rsidR="000C641F">
        <w:rPr>
          <w:rFonts w:ascii="Arial" w:hAnsi="Arial" w:cs="Arial"/>
        </w:rPr>
        <w:t>.</w:t>
      </w:r>
    </w:p>
    <w:p w:rsidR="00BA5754" w:rsidRDefault="00BA5754" w:rsidP="00BA5754">
      <w:pPr>
        <w:autoSpaceDE w:val="0"/>
        <w:autoSpaceDN w:val="0"/>
        <w:rPr>
          <w:rFonts w:ascii="Arial" w:hAnsi="Arial" w:cs="Arial"/>
        </w:rPr>
      </w:pPr>
    </w:p>
    <w:p w:rsidR="00BA5754" w:rsidRDefault="00BA5754" w:rsidP="00BA5754">
      <w:pPr>
        <w:autoSpaceDE w:val="0"/>
        <w:autoSpaceDN w:val="0"/>
        <w:rPr>
          <w:rFonts w:ascii="Arial" w:hAnsi="Arial" w:cs="Arial"/>
        </w:rPr>
      </w:pPr>
      <w:r w:rsidRPr="00730D36">
        <w:rPr>
          <w:rFonts w:ascii="Arial" w:hAnsi="Arial" w:cs="Arial"/>
          <w:b/>
        </w:rPr>
        <w:t>ARC/RCC rate calculations</w:t>
      </w:r>
      <w:r>
        <w:rPr>
          <w:rFonts w:ascii="Arial" w:hAnsi="Arial" w:cs="Arial"/>
        </w:rPr>
        <w:t xml:space="preserve"> generally work as follows:</w:t>
      </w:r>
    </w:p>
    <w:p w:rsidR="00BA5754" w:rsidRDefault="00BA5754" w:rsidP="00BA5754">
      <w:pPr>
        <w:autoSpaceDE w:val="0"/>
        <w:autoSpaceDN w:val="0"/>
        <w:rPr>
          <w:rFonts w:ascii="Arial" w:hAnsi="Arial" w:cs="Arial"/>
        </w:rPr>
      </w:pPr>
      <w:r>
        <w:rPr>
          <w:rFonts w:ascii="Arial" w:hAnsi="Arial" w:cs="Arial"/>
        </w:rPr>
        <w:t> </w:t>
      </w:r>
    </w:p>
    <w:p w:rsidR="00BA5754" w:rsidRDefault="00C5388B" w:rsidP="00C5388B">
      <w:pPr>
        <w:autoSpaceDE w:val="0"/>
        <w:autoSpaceDN w:val="0"/>
        <w:rPr>
          <w:rFonts w:ascii="Arial" w:hAnsi="Arial" w:cs="Arial"/>
        </w:rPr>
      </w:pPr>
      <w:r>
        <w:rPr>
          <w:rFonts w:ascii="Arial" w:hAnsi="Arial" w:cs="Arial"/>
        </w:rPr>
        <w:t xml:space="preserve">1. </w:t>
      </w:r>
      <w:r w:rsidR="00BA5754">
        <w:rPr>
          <w:rFonts w:ascii="Arial" w:hAnsi="Arial" w:cs="Arial"/>
        </w:rPr>
        <w:t>ARC/RRCs is a mechanism designed to accommodate changes in consumption (+ / -) of the services during the term:</w:t>
      </w:r>
    </w:p>
    <w:p w:rsidR="00BA5754" w:rsidRPr="00C5388B" w:rsidRDefault="00BA5754" w:rsidP="00C5388B">
      <w:pPr>
        <w:pStyle w:val="ListParagraph"/>
        <w:numPr>
          <w:ilvl w:val="0"/>
          <w:numId w:val="2"/>
        </w:numPr>
        <w:autoSpaceDE w:val="0"/>
        <w:autoSpaceDN w:val="0"/>
        <w:ind w:left="1440"/>
        <w:rPr>
          <w:rFonts w:ascii="Arial" w:hAnsi="Arial" w:cs="Arial"/>
          <w:sz w:val="22"/>
          <w:szCs w:val="22"/>
          <w:lang w:val="en-US"/>
        </w:rPr>
      </w:pPr>
      <w:r w:rsidRPr="00C5388B">
        <w:rPr>
          <w:rFonts w:ascii="Arial" w:hAnsi="Arial" w:cs="Arial"/>
          <w:sz w:val="22"/>
          <w:szCs w:val="22"/>
          <w:lang w:val="en-US"/>
        </w:rPr>
        <w:t>ARC - Additional Resource Charge</w:t>
      </w:r>
    </w:p>
    <w:p w:rsidR="00BA5754" w:rsidRPr="00C5388B" w:rsidRDefault="00BA5754" w:rsidP="00C5388B">
      <w:pPr>
        <w:pStyle w:val="ListParagraph"/>
        <w:numPr>
          <w:ilvl w:val="0"/>
          <w:numId w:val="2"/>
        </w:numPr>
        <w:autoSpaceDE w:val="0"/>
        <w:autoSpaceDN w:val="0"/>
        <w:ind w:left="1440"/>
        <w:rPr>
          <w:rFonts w:ascii="Arial" w:hAnsi="Arial" w:cs="Arial"/>
          <w:sz w:val="22"/>
          <w:szCs w:val="22"/>
          <w:lang w:val="en-US"/>
        </w:rPr>
      </w:pPr>
      <w:r w:rsidRPr="00C5388B">
        <w:rPr>
          <w:rFonts w:ascii="Arial" w:hAnsi="Arial" w:cs="Arial"/>
          <w:sz w:val="22"/>
          <w:szCs w:val="22"/>
          <w:lang w:val="en-US"/>
        </w:rPr>
        <w:t>RRC - Reduced Resource Credit</w:t>
      </w:r>
    </w:p>
    <w:p w:rsidR="00BA5754" w:rsidRPr="00C5388B" w:rsidRDefault="00BA5754" w:rsidP="00C5388B">
      <w:pPr>
        <w:pStyle w:val="ListParagraph"/>
        <w:numPr>
          <w:ilvl w:val="0"/>
          <w:numId w:val="2"/>
        </w:numPr>
        <w:autoSpaceDE w:val="0"/>
        <w:autoSpaceDN w:val="0"/>
        <w:ind w:left="1440"/>
        <w:rPr>
          <w:rFonts w:ascii="Arial" w:hAnsi="Arial" w:cs="Arial"/>
          <w:sz w:val="22"/>
          <w:szCs w:val="22"/>
          <w:lang w:val="en-US"/>
        </w:rPr>
      </w:pPr>
      <w:r w:rsidRPr="00C5388B">
        <w:rPr>
          <w:rFonts w:ascii="Arial" w:hAnsi="Arial" w:cs="Arial"/>
          <w:sz w:val="22"/>
          <w:szCs w:val="22"/>
          <w:lang w:val="en-US"/>
        </w:rPr>
        <w:t>Resource Units are assigned to particular functions - e.g. 1 supported desktop = 1 resource unit</w:t>
      </w:r>
    </w:p>
    <w:p w:rsidR="00AF0C14" w:rsidRPr="00AF0C14" w:rsidRDefault="00AF0C14" w:rsidP="00C5388B">
      <w:pPr>
        <w:autoSpaceDE w:val="0"/>
        <w:autoSpaceDN w:val="0"/>
        <w:ind w:left="1080"/>
        <w:rPr>
          <w:rFonts w:ascii="Arial" w:hAnsi="Arial" w:cs="Arial"/>
          <w:lang w:val="en-US"/>
        </w:rPr>
      </w:pPr>
    </w:p>
    <w:p w:rsidR="00BA5754" w:rsidRDefault="00C5388B" w:rsidP="00C5388B">
      <w:pPr>
        <w:autoSpaceDE w:val="0"/>
        <w:autoSpaceDN w:val="0"/>
        <w:rPr>
          <w:rFonts w:ascii="Arial" w:hAnsi="Arial" w:cs="Arial"/>
        </w:rPr>
      </w:pPr>
      <w:r>
        <w:rPr>
          <w:rFonts w:ascii="Arial" w:hAnsi="Arial" w:cs="Arial"/>
        </w:rPr>
        <w:t xml:space="preserve">2. </w:t>
      </w:r>
      <w:r w:rsidR="00730D36">
        <w:rPr>
          <w:rFonts w:ascii="Arial" w:hAnsi="Arial" w:cs="Arial"/>
        </w:rPr>
        <w:t>Most Outsourcing A</w:t>
      </w:r>
      <w:r w:rsidR="00BA5754">
        <w:rPr>
          <w:rFonts w:ascii="Arial" w:hAnsi="Arial" w:cs="Arial"/>
        </w:rPr>
        <w:t>greements will provide for:</w:t>
      </w:r>
    </w:p>
    <w:p w:rsidR="000C641F" w:rsidRPr="00C5388B" w:rsidRDefault="000C641F" w:rsidP="00C5388B">
      <w:pPr>
        <w:pStyle w:val="ListParagraph"/>
        <w:numPr>
          <w:ilvl w:val="0"/>
          <w:numId w:val="2"/>
        </w:numPr>
        <w:autoSpaceDE w:val="0"/>
        <w:autoSpaceDN w:val="0"/>
        <w:ind w:left="1440"/>
        <w:rPr>
          <w:rFonts w:ascii="Arial" w:hAnsi="Arial" w:cs="Arial"/>
          <w:sz w:val="22"/>
          <w:szCs w:val="22"/>
          <w:lang w:val="en-US"/>
        </w:rPr>
      </w:pPr>
      <w:r w:rsidRPr="00730D36">
        <w:rPr>
          <w:rFonts w:ascii="Arial" w:hAnsi="Arial" w:cs="Arial"/>
          <w:b/>
          <w:sz w:val="22"/>
          <w:szCs w:val="22"/>
          <w:lang w:val="en-US"/>
        </w:rPr>
        <w:t>Baseline</w:t>
      </w:r>
      <w:r w:rsidRPr="00C5388B">
        <w:rPr>
          <w:rFonts w:ascii="Arial" w:hAnsi="Arial" w:cs="Arial"/>
          <w:sz w:val="22"/>
          <w:szCs w:val="22"/>
          <w:lang w:val="en-US"/>
        </w:rPr>
        <w:t>:  the average or expected volume of resources that the Customer requires and the Service Provider agrees to provide.</w:t>
      </w:r>
    </w:p>
    <w:p w:rsidR="00BA5754" w:rsidRPr="00C5388B" w:rsidRDefault="000C641F" w:rsidP="00C5388B">
      <w:pPr>
        <w:pStyle w:val="ListParagraph"/>
        <w:numPr>
          <w:ilvl w:val="0"/>
          <w:numId w:val="2"/>
        </w:numPr>
        <w:autoSpaceDE w:val="0"/>
        <w:autoSpaceDN w:val="0"/>
        <w:ind w:left="1440"/>
        <w:rPr>
          <w:rFonts w:ascii="Arial" w:hAnsi="Arial" w:cs="Arial"/>
          <w:sz w:val="22"/>
          <w:szCs w:val="22"/>
          <w:lang w:val="en-US"/>
        </w:rPr>
      </w:pPr>
      <w:r w:rsidRPr="00730D36">
        <w:rPr>
          <w:rFonts w:ascii="Arial" w:hAnsi="Arial" w:cs="Arial"/>
          <w:b/>
          <w:sz w:val="22"/>
          <w:szCs w:val="22"/>
          <w:lang w:val="en-US"/>
        </w:rPr>
        <w:t>Deadband</w:t>
      </w:r>
      <w:r w:rsidRPr="00C5388B">
        <w:rPr>
          <w:rFonts w:ascii="Arial" w:hAnsi="Arial" w:cs="Arial"/>
          <w:sz w:val="22"/>
          <w:szCs w:val="22"/>
          <w:lang w:val="en-US"/>
        </w:rPr>
        <w:t xml:space="preserve">:   </w:t>
      </w:r>
      <w:r w:rsidR="00BA5754" w:rsidRPr="00C5388B">
        <w:rPr>
          <w:rFonts w:ascii="Arial" w:hAnsi="Arial" w:cs="Arial"/>
          <w:sz w:val="22"/>
          <w:szCs w:val="22"/>
          <w:lang w:val="en-US"/>
        </w:rPr>
        <w:t>A deadband, typically +/- 5</w:t>
      </w:r>
      <w:r w:rsidRPr="00C5388B">
        <w:rPr>
          <w:rFonts w:ascii="Arial" w:hAnsi="Arial" w:cs="Arial"/>
          <w:sz w:val="22"/>
          <w:szCs w:val="22"/>
          <w:lang w:val="en-US"/>
        </w:rPr>
        <w:t xml:space="preserve"> to</w:t>
      </w:r>
      <w:r w:rsidR="00BA5754" w:rsidRPr="00C5388B">
        <w:rPr>
          <w:rFonts w:ascii="Arial" w:hAnsi="Arial" w:cs="Arial"/>
          <w:sz w:val="22"/>
          <w:szCs w:val="22"/>
          <w:lang w:val="en-US"/>
        </w:rPr>
        <w:t xml:space="preserve">10% of </w:t>
      </w:r>
      <w:r w:rsidRPr="00C5388B">
        <w:rPr>
          <w:rFonts w:ascii="Arial" w:hAnsi="Arial" w:cs="Arial"/>
          <w:sz w:val="22"/>
          <w:szCs w:val="22"/>
          <w:lang w:val="en-US"/>
        </w:rPr>
        <w:t>the baseline</w:t>
      </w:r>
      <w:r w:rsidR="00FC242F" w:rsidRPr="00C5388B">
        <w:rPr>
          <w:rFonts w:ascii="Arial" w:hAnsi="Arial" w:cs="Arial"/>
          <w:sz w:val="22"/>
          <w:szCs w:val="22"/>
          <w:lang w:val="en-US"/>
        </w:rPr>
        <w:t>.  N</w:t>
      </w:r>
      <w:r w:rsidR="00BA5754" w:rsidRPr="00C5388B">
        <w:rPr>
          <w:rFonts w:ascii="Arial" w:hAnsi="Arial" w:cs="Arial"/>
          <w:sz w:val="22"/>
          <w:szCs w:val="22"/>
          <w:lang w:val="en-US"/>
        </w:rPr>
        <w:t xml:space="preserve">ote </w:t>
      </w:r>
      <w:r w:rsidRPr="00C5388B">
        <w:rPr>
          <w:rFonts w:ascii="Arial" w:hAnsi="Arial" w:cs="Arial"/>
          <w:sz w:val="22"/>
          <w:szCs w:val="22"/>
          <w:lang w:val="en-US"/>
        </w:rPr>
        <w:t xml:space="preserve">that </w:t>
      </w:r>
      <w:r w:rsidR="00BA5754" w:rsidRPr="00C5388B">
        <w:rPr>
          <w:rFonts w:ascii="Arial" w:hAnsi="Arial" w:cs="Arial"/>
          <w:sz w:val="22"/>
          <w:szCs w:val="22"/>
          <w:lang w:val="en-US"/>
        </w:rPr>
        <w:t>10% is a little high for most towers. The purpose of the deadband is essentially administrative convenience</w:t>
      </w:r>
      <w:r w:rsidRPr="00C5388B">
        <w:rPr>
          <w:rFonts w:ascii="Arial" w:hAnsi="Arial" w:cs="Arial"/>
          <w:sz w:val="22"/>
          <w:szCs w:val="22"/>
          <w:lang w:val="en-US"/>
        </w:rPr>
        <w:t>,</w:t>
      </w:r>
      <w:r w:rsidR="00BA5754" w:rsidRPr="00C5388B">
        <w:rPr>
          <w:rFonts w:ascii="Arial" w:hAnsi="Arial" w:cs="Arial"/>
          <w:sz w:val="22"/>
          <w:szCs w:val="22"/>
          <w:lang w:val="en-US"/>
        </w:rPr>
        <w:t xml:space="preserve"> and there are no changes to the overall price as long as the volumes consumed are inside the deadband. </w:t>
      </w:r>
      <w:r w:rsidR="00AF0C14" w:rsidRPr="00C5388B">
        <w:rPr>
          <w:rFonts w:ascii="Arial" w:hAnsi="Arial" w:cs="Arial"/>
          <w:sz w:val="22"/>
          <w:szCs w:val="22"/>
          <w:lang w:val="en-US"/>
        </w:rPr>
        <w:t xml:space="preserve"> The ARC/RRC methodology works even if the deadband is zero</w:t>
      </w:r>
      <w:r w:rsidRPr="00C5388B">
        <w:rPr>
          <w:rFonts w:ascii="Arial" w:hAnsi="Arial" w:cs="Arial"/>
          <w:sz w:val="22"/>
          <w:szCs w:val="22"/>
          <w:lang w:val="en-US"/>
        </w:rPr>
        <w:t>.</w:t>
      </w:r>
    </w:p>
    <w:p w:rsidR="00BA5754" w:rsidRPr="00C5388B" w:rsidRDefault="00060C1D" w:rsidP="00C5388B">
      <w:pPr>
        <w:pStyle w:val="ListParagraph"/>
        <w:numPr>
          <w:ilvl w:val="0"/>
          <w:numId w:val="2"/>
        </w:numPr>
        <w:autoSpaceDE w:val="0"/>
        <w:autoSpaceDN w:val="0"/>
        <w:ind w:left="1440"/>
        <w:rPr>
          <w:rFonts w:ascii="Arial" w:hAnsi="Arial" w:cs="Arial"/>
          <w:sz w:val="22"/>
          <w:szCs w:val="22"/>
          <w:lang w:val="en-US"/>
        </w:rPr>
      </w:pPr>
      <w:r w:rsidRPr="00060C1D">
        <w:rPr>
          <w:rFonts w:ascii="Arial" w:hAnsi="Arial" w:cs="Arial"/>
          <w:b/>
          <w:sz w:val="22"/>
          <w:szCs w:val="22"/>
          <w:lang w:val="en-US"/>
        </w:rPr>
        <w:t>Bands or ranges for ARCs and RRCs</w:t>
      </w:r>
      <w:r w:rsidR="000C641F" w:rsidRPr="00C5388B">
        <w:rPr>
          <w:rFonts w:ascii="Arial" w:hAnsi="Arial" w:cs="Arial"/>
          <w:sz w:val="22"/>
          <w:szCs w:val="22"/>
          <w:lang w:val="en-US"/>
        </w:rPr>
        <w:t>:</w:t>
      </w:r>
      <w:r w:rsidR="00BA5754" w:rsidRPr="00C5388B">
        <w:rPr>
          <w:rFonts w:ascii="Arial" w:hAnsi="Arial" w:cs="Arial"/>
          <w:sz w:val="22"/>
          <w:szCs w:val="22"/>
          <w:lang w:val="en-US"/>
        </w:rPr>
        <w:t xml:space="preserve"> For resource consumption inside these ranges, but outside the deadband, </w:t>
      </w:r>
      <w:r w:rsidR="00AF0C14" w:rsidRPr="00C5388B">
        <w:rPr>
          <w:rFonts w:ascii="Arial" w:hAnsi="Arial" w:cs="Arial"/>
          <w:sz w:val="22"/>
          <w:szCs w:val="22"/>
          <w:lang w:val="en-US"/>
        </w:rPr>
        <w:t>a</w:t>
      </w:r>
      <w:r w:rsidR="00BA5754" w:rsidRPr="00C5388B">
        <w:rPr>
          <w:rFonts w:ascii="Arial" w:hAnsi="Arial" w:cs="Arial"/>
          <w:sz w:val="22"/>
          <w:szCs w:val="22"/>
          <w:lang w:val="en-US"/>
        </w:rPr>
        <w:t xml:space="preserve">dditional or </w:t>
      </w:r>
      <w:r w:rsidR="00AF0C14" w:rsidRPr="00C5388B">
        <w:rPr>
          <w:rFonts w:ascii="Arial" w:hAnsi="Arial" w:cs="Arial"/>
          <w:sz w:val="22"/>
          <w:szCs w:val="22"/>
          <w:lang w:val="en-US"/>
        </w:rPr>
        <w:t>r</w:t>
      </w:r>
      <w:r w:rsidR="00BA5754" w:rsidRPr="00C5388B">
        <w:rPr>
          <w:rFonts w:ascii="Arial" w:hAnsi="Arial" w:cs="Arial"/>
          <w:sz w:val="22"/>
          <w:szCs w:val="22"/>
          <w:lang w:val="en-US"/>
        </w:rPr>
        <w:t>educed charges will apply</w:t>
      </w:r>
      <w:r w:rsidR="00730D36">
        <w:rPr>
          <w:rFonts w:ascii="Arial" w:hAnsi="Arial" w:cs="Arial"/>
          <w:sz w:val="22"/>
          <w:szCs w:val="22"/>
          <w:lang w:val="en-US"/>
        </w:rPr>
        <w:t>.</w:t>
      </w:r>
    </w:p>
    <w:p w:rsidR="00BA5754" w:rsidRPr="00C5388B" w:rsidRDefault="00060C1D" w:rsidP="00C5388B">
      <w:pPr>
        <w:pStyle w:val="ListParagraph"/>
        <w:numPr>
          <w:ilvl w:val="0"/>
          <w:numId w:val="2"/>
        </w:numPr>
        <w:autoSpaceDE w:val="0"/>
        <w:autoSpaceDN w:val="0"/>
        <w:ind w:left="1440"/>
        <w:rPr>
          <w:rFonts w:ascii="Arial" w:hAnsi="Arial" w:cs="Arial"/>
          <w:sz w:val="22"/>
          <w:szCs w:val="22"/>
          <w:lang w:val="en-US"/>
        </w:rPr>
      </w:pPr>
      <w:r w:rsidRPr="00060C1D">
        <w:rPr>
          <w:rFonts w:ascii="Arial" w:hAnsi="Arial" w:cs="Arial"/>
          <w:b/>
          <w:sz w:val="22"/>
          <w:szCs w:val="22"/>
          <w:lang w:val="en-US"/>
        </w:rPr>
        <w:t xml:space="preserve">Prices for units outside the </w:t>
      </w:r>
      <w:r w:rsidR="0030157B">
        <w:rPr>
          <w:rFonts w:ascii="Arial" w:hAnsi="Arial" w:cs="Arial"/>
          <w:b/>
          <w:sz w:val="22"/>
          <w:szCs w:val="22"/>
          <w:lang w:val="en-US"/>
        </w:rPr>
        <w:t>D</w:t>
      </w:r>
      <w:r w:rsidRPr="00060C1D">
        <w:rPr>
          <w:rFonts w:ascii="Arial" w:hAnsi="Arial" w:cs="Arial"/>
          <w:b/>
          <w:sz w:val="22"/>
          <w:szCs w:val="22"/>
          <w:lang w:val="en-US"/>
        </w:rPr>
        <w:t>eadband</w:t>
      </w:r>
      <w:r w:rsidR="00730D36">
        <w:rPr>
          <w:rFonts w:ascii="Arial" w:hAnsi="Arial" w:cs="Arial"/>
          <w:sz w:val="22"/>
          <w:szCs w:val="22"/>
          <w:lang w:val="en-US"/>
        </w:rPr>
        <w:t>: ARCs are often</w:t>
      </w:r>
      <w:r w:rsidR="00BA5754" w:rsidRPr="00C5388B">
        <w:rPr>
          <w:rFonts w:ascii="Arial" w:hAnsi="Arial" w:cs="Arial"/>
          <w:sz w:val="22"/>
          <w:szCs w:val="22"/>
          <w:lang w:val="en-US"/>
        </w:rPr>
        <w:t xml:space="preserve"> less than the cost per </w:t>
      </w:r>
      <w:r w:rsidR="00174088" w:rsidRPr="00C5388B">
        <w:rPr>
          <w:rFonts w:ascii="Arial" w:hAnsi="Arial" w:cs="Arial"/>
          <w:sz w:val="22"/>
          <w:szCs w:val="22"/>
          <w:lang w:val="en-US"/>
        </w:rPr>
        <w:t>u</w:t>
      </w:r>
      <w:r w:rsidR="00BA5754" w:rsidRPr="00C5388B">
        <w:rPr>
          <w:rFonts w:ascii="Arial" w:hAnsi="Arial" w:cs="Arial"/>
          <w:sz w:val="22"/>
          <w:szCs w:val="22"/>
          <w:lang w:val="en-US"/>
        </w:rPr>
        <w:t xml:space="preserve">nit in the </w:t>
      </w:r>
      <w:r w:rsidR="002A6AD1" w:rsidRPr="00C5388B">
        <w:rPr>
          <w:rFonts w:ascii="Arial" w:hAnsi="Arial" w:cs="Arial"/>
          <w:sz w:val="22"/>
          <w:szCs w:val="22"/>
          <w:lang w:val="en-US"/>
        </w:rPr>
        <w:t>d</w:t>
      </w:r>
      <w:r w:rsidR="00BA5754" w:rsidRPr="00C5388B">
        <w:rPr>
          <w:rFonts w:ascii="Arial" w:hAnsi="Arial" w:cs="Arial"/>
          <w:sz w:val="22"/>
          <w:szCs w:val="22"/>
          <w:lang w:val="en-US"/>
        </w:rPr>
        <w:t>eadband (additional variable cost only), and RRCs will also be less but may be higher than ARCs. Some transactions have equal ARC and RRC rates</w:t>
      </w:r>
      <w:r w:rsidR="000C641F" w:rsidRPr="00C5388B">
        <w:rPr>
          <w:rFonts w:ascii="Arial" w:hAnsi="Arial" w:cs="Arial"/>
          <w:sz w:val="22"/>
          <w:szCs w:val="22"/>
          <w:lang w:val="en-US"/>
        </w:rPr>
        <w:t xml:space="preserve">.  </w:t>
      </w:r>
      <w:r w:rsidR="00BA5754" w:rsidRPr="00C5388B">
        <w:rPr>
          <w:rFonts w:ascii="Arial" w:hAnsi="Arial" w:cs="Arial"/>
          <w:sz w:val="22"/>
          <w:szCs w:val="22"/>
          <w:lang w:val="en-US"/>
        </w:rPr>
        <w:t xml:space="preserve">The </w:t>
      </w:r>
      <w:r w:rsidR="000C641F" w:rsidRPr="00C5388B">
        <w:rPr>
          <w:rFonts w:ascii="Arial" w:hAnsi="Arial" w:cs="Arial"/>
          <w:sz w:val="22"/>
          <w:szCs w:val="22"/>
          <w:lang w:val="en-US"/>
        </w:rPr>
        <w:t xml:space="preserve">resource units in the </w:t>
      </w:r>
      <w:r w:rsidR="00BA5754" w:rsidRPr="00C5388B">
        <w:rPr>
          <w:rFonts w:ascii="Arial" w:hAnsi="Arial" w:cs="Arial"/>
          <w:sz w:val="22"/>
          <w:szCs w:val="22"/>
          <w:lang w:val="en-US"/>
        </w:rPr>
        <w:t xml:space="preserve">baseline </w:t>
      </w:r>
      <w:r w:rsidR="00F04CF6" w:rsidRPr="00C5388B">
        <w:rPr>
          <w:rFonts w:ascii="Arial" w:hAnsi="Arial" w:cs="Arial"/>
          <w:sz w:val="22"/>
          <w:szCs w:val="22"/>
          <w:lang w:val="en-US"/>
        </w:rPr>
        <w:t>are not charged at</w:t>
      </w:r>
      <w:r w:rsidR="00BA5754" w:rsidRPr="00C5388B">
        <w:rPr>
          <w:rFonts w:ascii="Arial" w:hAnsi="Arial" w:cs="Arial"/>
          <w:sz w:val="22"/>
          <w:szCs w:val="22"/>
          <w:lang w:val="en-US"/>
        </w:rPr>
        <w:t xml:space="preserve"> the ARC or RRC price</w:t>
      </w:r>
      <w:r w:rsidR="000C641F" w:rsidRPr="00C5388B">
        <w:rPr>
          <w:rFonts w:ascii="Arial" w:hAnsi="Arial" w:cs="Arial"/>
          <w:sz w:val="22"/>
          <w:szCs w:val="22"/>
          <w:lang w:val="en-US"/>
        </w:rPr>
        <w:t>;</w:t>
      </w:r>
      <w:r w:rsidR="00BA5754" w:rsidRPr="00C5388B">
        <w:rPr>
          <w:rFonts w:ascii="Arial" w:hAnsi="Arial" w:cs="Arial"/>
          <w:sz w:val="22"/>
          <w:szCs w:val="22"/>
          <w:lang w:val="en-US"/>
        </w:rPr>
        <w:t xml:space="preserve"> only the incremental unit for ARC or reduced </w:t>
      </w:r>
      <w:r w:rsidR="00A511FD" w:rsidRPr="00C5388B">
        <w:rPr>
          <w:rFonts w:ascii="Arial" w:hAnsi="Arial" w:cs="Arial"/>
          <w:sz w:val="22"/>
          <w:szCs w:val="22"/>
          <w:lang w:val="en-US"/>
        </w:rPr>
        <w:t>unit for RRC is</w:t>
      </w:r>
      <w:r w:rsidR="000C641F" w:rsidRPr="00C5388B">
        <w:rPr>
          <w:rFonts w:ascii="Arial" w:hAnsi="Arial" w:cs="Arial"/>
          <w:sz w:val="22"/>
          <w:szCs w:val="22"/>
          <w:lang w:val="en-US"/>
        </w:rPr>
        <w:t xml:space="preserve"> </w:t>
      </w:r>
      <w:r w:rsidR="00F04CF6" w:rsidRPr="00C5388B">
        <w:rPr>
          <w:rFonts w:ascii="Arial" w:hAnsi="Arial" w:cs="Arial"/>
          <w:sz w:val="22"/>
          <w:szCs w:val="22"/>
          <w:lang w:val="en-US"/>
        </w:rPr>
        <w:t>charged based on the applicable price</w:t>
      </w:r>
      <w:r w:rsidR="00BA5754" w:rsidRPr="00C5388B">
        <w:rPr>
          <w:rFonts w:ascii="Arial" w:hAnsi="Arial" w:cs="Arial"/>
          <w:sz w:val="22"/>
          <w:szCs w:val="22"/>
          <w:lang w:val="en-US"/>
        </w:rPr>
        <w:t>.</w:t>
      </w:r>
    </w:p>
    <w:p w:rsidR="00AF0C14" w:rsidRPr="00C5388B" w:rsidRDefault="00AF0C14" w:rsidP="00C5388B">
      <w:pPr>
        <w:autoSpaceDE w:val="0"/>
        <w:autoSpaceDN w:val="0"/>
        <w:rPr>
          <w:rFonts w:ascii="Arial" w:hAnsi="Arial" w:cs="Arial"/>
        </w:rPr>
      </w:pPr>
    </w:p>
    <w:p w:rsidR="00BA5754" w:rsidRDefault="00C5388B" w:rsidP="00C5388B">
      <w:pPr>
        <w:autoSpaceDE w:val="0"/>
        <w:autoSpaceDN w:val="0"/>
        <w:rPr>
          <w:rFonts w:ascii="Arial" w:hAnsi="Arial" w:cs="Arial"/>
        </w:rPr>
      </w:pPr>
      <w:r>
        <w:rPr>
          <w:rFonts w:ascii="Arial" w:hAnsi="Arial" w:cs="Arial"/>
        </w:rPr>
        <w:t xml:space="preserve">3. </w:t>
      </w:r>
      <w:r w:rsidR="00BA5754">
        <w:rPr>
          <w:rFonts w:ascii="Arial" w:hAnsi="Arial" w:cs="Arial"/>
        </w:rPr>
        <w:t xml:space="preserve">The Service Provider will compare the quantity of resource units used </w:t>
      </w:r>
      <w:r w:rsidR="000C641F">
        <w:rPr>
          <w:rFonts w:ascii="Arial" w:hAnsi="Arial" w:cs="Arial"/>
        </w:rPr>
        <w:t xml:space="preserve">in a month or period </w:t>
      </w:r>
      <w:r w:rsidR="00BA5754">
        <w:rPr>
          <w:rFonts w:ascii="Arial" w:hAnsi="Arial" w:cs="Arial"/>
        </w:rPr>
        <w:t xml:space="preserve">against the </w:t>
      </w:r>
      <w:r w:rsidR="000C641F">
        <w:rPr>
          <w:rFonts w:ascii="Arial" w:hAnsi="Arial" w:cs="Arial"/>
        </w:rPr>
        <w:t>baseline for that month or period:</w:t>
      </w:r>
    </w:p>
    <w:p w:rsidR="00BA5754" w:rsidRDefault="000C641F" w:rsidP="00BA5754">
      <w:pPr>
        <w:pStyle w:val="ListParagraph"/>
        <w:numPr>
          <w:ilvl w:val="0"/>
          <w:numId w:val="2"/>
        </w:numPr>
        <w:autoSpaceDE w:val="0"/>
        <w:autoSpaceDN w:val="0"/>
        <w:ind w:left="1440"/>
        <w:rPr>
          <w:rFonts w:ascii="Arial" w:hAnsi="Arial" w:cs="Arial"/>
          <w:sz w:val="22"/>
          <w:szCs w:val="22"/>
          <w:lang w:val="en-US"/>
        </w:rPr>
      </w:pPr>
      <w:r>
        <w:rPr>
          <w:rFonts w:ascii="Arial" w:hAnsi="Arial" w:cs="Arial"/>
          <w:sz w:val="22"/>
          <w:szCs w:val="22"/>
          <w:lang w:val="en-US"/>
        </w:rPr>
        <w:t>There is n</w:t>
      </w:r>
      <w:r w:rsidR="00BA5754">
        <w:rPr>
          <w:rFonts w:ascii="Arial" w:hAnsi="Arial" w:cs="Arial"/>
          <w:sz w:val="22"/>
          <w:szCs w:val="22"/>
          <w:lang w:val="en-US"/>
        </w:rPr>
        <w:t>o increase / decrease in charges if the consumption of resource units is within the deadband</w:t>
      </w:r>
      <w:r w:rsidR="00730D36">
        <w:rPr>
          <w:rFonts w:ascii="Arial" w:hAnsi="Arial" w:cs="Arial"/>
          <w:sz w:val="22"/>
          <w:szCs w:val="22"/>
          <w:lang w:val="en-US"/>
        </w:rPr>
        <w:t>.</w:t>
      </w:r>
    </w:p>
    <w:p w:rsidR="00BA5754" w:rsidRDefault="00BA5754" w:rsidP="00BA5754">
      <w:pPr>
        <w:pStyle w:val="ListParagraph"/>
        <w:numPr>
          <w:ilvl w:val="0"/>
          <w:numId w:val="2"/>
        </w:numPr>
        <w:autoSpaceDE w:val="0"/>
        <w:autoSpaceDN w:val="0"/>
        <w:ind w:left="1440"/>
        <w:rPr>
          <w:rFonts w:ascii="Arial" w:hAnsi="Arial" w:cs="Arial"/>
          <w:sz w:val="22"/>
          <w:szCs w:val="22"/>
          <w:lang w:val="en-US"/>
        </w:rPr>
      </w:pPr>
      <w:r>
        <w:rPr>
          <w:rFonts w:ascii="Arial" w:hAnsi="Arial" w:cs="Arial"/>
          <w:sz w:val="22"/>
          <w:szCs w:val="22"/>
          <w:lang w:val="en-US"/>
        </w:rPr>
        <w:t>ARC</w:t>
      </w:r>
      <w:r w:rsidR="007E20E9">
        <w:rPr>
          <w:rFonts w:ascii="Arial" w:hAnsi="Arial" w:cs="Arial"/>
          <w:sz w:val="22"/>
          <w:szCs w:val="22"/>
          <w:lang w:val="en-US"/>
        </w:rPr>
        <w:t>s are</w:t>
      </w:r>
      <w:r>
        <w:rPr>
          <w:rFonts w:ascii="Arial" w:hAnsi="Arial" w:cs="Arial"/>
          <w:sz w:val="22"/>
          <w:szCs w:val="22"/>
          <w:lang w:val="en-US"/>
        </w:rPr>
        <w:t xml:space="preserve"> charged if consumption of resource units exceeds the deadband; RRC</w:t>
      </w:r>
      <w:r w:rsidR="007E20E9">
        <w:rPr>
          <w:rFonts w:ascii="Arial" w:hAnsi="Arial" w:cs="Arial"/>
          <w:sz w:val="22"/>
          <w:szCs w:val="22"/>
          <w:lang w:val="en-US"/>
        </w:rPr>
        <w:t>s</w:t>
      </w:r>
      <w:r>
        <w:rPr>
          <w:rFonts w:ascii="Arial" w:hAnsi="Arial" w:cs="Arial"/>
          <w:sz w:val="22"/>
          <w:szCs w:val="22"/>
          <w:lang w:val="en-US"/>
        </w:rPr>
        <w:t xml:space="preserve"> </w:t>
      </w:r>
      <w:r w:rsidR="007E20E9">
        <w:rPr>
          <w:rFonts w:ascii="Arial" w:hAnsi="Arial" w:cs="Arial"/>
          <w:sz w:val="22"/>
          <w:szCs w:val="22"/>
          <w:lang w:val="en-US"/>
        </w:rPr>
        <w:t>are</w:t>
      </w:r>
      <w:bookmarkStart w:id="0" w:name="_GoBack"/>
      <w:bookmarkEnd w:id="0"/>
      <w:r>
        <w:rPr>
          <w:rFonts w:ascii="Arial" w:hAnsi="Arial" w:cs="Arial"/>
          <w:sz w:val="22"/>
          <w:szCs w:val="22"/>
          <w:lang w:val="en-US"/>
        </w:rPr>
        <w:t xml:space="preserve"> credited if consumption falls below deadband</w:t>
      </w:r>
      <w:r w:rsidR="00730D36">
        <w:rPr>
          <w:rFonts w:ascii="Arial" w:hAnsi="Arial" w:cs="Arial"/>
          <w:sz w:val="22"/>
          <w:szCs w:val="22"/>
          <w:lang w:val="en-US"/>
        </w:rPr>
        <w:t>.</w:t>
      </w:r>
    </w:p>
    <w:p w:rsidR="00BA5754" w:rsidRDefault="00BA5754" w:rsidP="00BA5754">
      <w:pPr>
        <w:autoSpaceDE w:val="0"/>
        <w:autoSpaceDN w:val="0"/>
        <w:rPr>
          <w:rFonts w:ascii="Arial" w:hAnsi="Arial" w:cs="Arial"/>
        </w:rPr>
      </w:pPr>
    </w:p>
    <w:p w:rsidR="00BA5754" w:rsidRDefault="00BA5754" w:rsidP="00BA5754">
      <w:pPr>
        <w:autoSpaceDE w:val="0"/>
        <w:autoSpaceDN w:val="0"/>
        <w:rPr>
          <w:rFonts w:ascii="Arial" w:hAnsi="Arial" w:cs="Arial"/>
        </w:rPr>
      </w:pPr>
      <w:r>
        <w:rPr>
          <w:rFonts w:ascii="Arial" w:hAnsi="Arial" w:cs="Arial"/>
        </w:rPr>
        <w:t>Note there is variation in the approach to how the incremental units are charged over the baseline</w:t>
      </w:r>
      <w:r w:rsidR="00174088">
        <w:rPr>
          <w:rFonts w:ascii="Arial" w:hAnsi="Arial" w:cs="Arial"/>
        </w:rPr>
        <w:t>.  Assume the baseline is</w:t>
      </w:r>
      <w:r>
        <w:rPr>
          <w:rFonts w:ascii="Arial" w:hAnsi="Arial" w:cs="Arial"/>
        </w:rPr>
        <w:t xml:space="preserve"> 100, </w:t>
      </w:r>
      <w:r w:rsidR="00174088">
        <w:rPr>
          <w:rFonts w:ascii="Arial" w:hAnsi="Arial" w:cs="Arial"/>
        </w:rPr>
        <w:t>with a</w:t>
      </w:r>
      <w:r>
        <w:rPr>
          <w:rFonts w:ascii="Arial" w:hAnsi="Arial" w:cs="Arial"/>
        </w:rPr>
        <w:t xml:space="preserve"> deadband </w:t>
      </w:r>
      <w:r w:rsidR="00174088">
        <w:rPr>
          <w:rFonts w:ascii="Arial" w:hAnsi="Arial" w:cs="Arial"/>
        </w:rPr>
        <w:t>of</w:t>
      </w:r>
      <w:r>
        <w:rPr>
          <w:rFonts w:ascii="Arial" w:hAnsi="Arial" w:cs="Arial"/>
        </w:rPr>
        <w:t xml:space="preserve"> 10%. </w:t>
      </w:r>
      <w:r w:rsidR="00174088">
        <w:rPr>
          <w:rFonts w:ascii="Arial" w:hAnsi="Arial" w:cs="Arial"/>
        </w:rPr>
        <w:t>If the Customer</w:t>
      </w:r>
      <w:r>
        <w:rPr>
          <w:rFonts w:ascii="Arial" w:hAnsi="Arial" w:cs="Arial"/>
        </w:rPr>
        <w:t xml:space="preserve"> require</w:t>
      </w:r>
      <w:r w:rsidR="00174088">
        <w:rPr>
          <w:rFonts w:ascii="Arial" w:hAnsi="Arial" w:cs="Arial"/>
        </w:rPr>
        <w:t>s</w:t>
      </w:r>
      <w:r>
        <w:rPr>
          <w:rFonts w:ascii="Arial" w:hAnsi="Arial" w:cs="Arial"/>
        </w:rPr>
        <w:t xml:space="preserve"> one additional unit</w:t>
      </w:r>
      <w:r w:rsidR="00E93B7C">
        <w:rPr>
          <w:rFonts w:ascii="Arial" w:hAnsi="Arial" w:cs="Arial"/>
        </w:rPr>
        <w:t xml:space="preserve"> above the deadband</w:t>
      </w:r>
      <w:r w:rsidR="000C641F">
        <w:rPr>
          <w:rFonts w:ascii="Arial" w:hAnsi="Arial" w:cs="Arial"/>
        </w:rPr>
        <w:t xml:space="preserve"> (</w:t>
      </w:r>
      <w:r w:rsidR="00E93B7C">
        <w:rPr>
          <w:rFonts w:ascii="Arial" w:hAnsi="Arial" w:cs="Arial"/>
        </w:rPr>
        <w:t xml:space="preserve">i.e. </w:t>
      </w:r>
      <w:r>
        <w:rPr>
          <w:rFonts w:ascii="Arial" w:hAnsi="Arial" w:cs="Arial"/>
        </w:rPr>
        <w:t>111</w:t>
      </w:r>
      <w:r w:rsidR="000C641F">
        <w:rPr>
          <w:rFonts w:ascii="Arial" w:hAnsi="Arial" w:cs="Arial"/>
        </w:rPr>
        <w:t xml:space="preserve"> </w:t>
      </w:r>
      <w:r w:rsidR="00E93B7C">
        <w:rPr>
          <w:rFonts w:ascii="Arial" w:hAnsi="Arial" w:cs="Arial"/>
        </w:rPr>
        <w:t>units</w:t>
      </w:r>
      <w:r w:rsidR="000C641F">
        <w:rPr>
          <w:rFonts w:ascii="Arial" w:hAnsi="Arial" w:cs="Arial"/>
        </w:rPr>
        <w:t>)</w:t>
      </w:r>
      <w:r>
        <w:rPr>
          <w:rFonts w:ascii="Arial" w:hAnsi="Arial" w:cs="Arial"/>
        </w:rPr>
        <w:t>, do</w:t>
      </w:r>
      <w:r w:rsidR="00174088">
        <w:rPr>
          <w:rFonts w:ascii="Arial" w:hAnsi="Arial" w:cs="Arial"/>
        </w:rPr>
        <w:t xml:space="preserve">es the </w:t>
      </w:r>
      <w:r w:rsidR="00AB71BD">
        <w:rPr>
          <w:rFonts w:ascii="Arial" w:hAnsi="Arial" w:cs="Arial"/>
        </w:rPr>
        <w:t>C</w:t>
      </w:r>
      <w:r w:rsidR="00174088">
        <w:rPr>
          <w:rFonts w:ascii="Arial" w:hAnsi="Arial" w:cs="Arial"/>
        </w:rPr>
        <w:t>ustomer</w:t>
      </w:r>
      <w:r>
        <w:rPr>
          <w:rFonts w:ascii="Arial" w:hAnsi="Arial" w:cs="Arial"/>
        </w:rPr>
        <w:t xml:space="preserve"> pay the ARC for all 11 </w:t>
      </w:r>
      <w:r w:rsidR="00F04CF6">
        <w:rPr>
          <w:rFonts w:ascii="Arial" w:hAnsi="Arial" w:cs="Arial"/>
        </w:rPr>
        <w:t xml:space="preserve">additional units </w:t>
      </w:r>
      <w:r>
        <w:rPr>
          <w:rFonts w:ascii="Arial" w:hAnsi="Arial" w:cs="Arial"/>
        </w:rPr>
        <w:t xml:space="preserve">or </w:t>
      </w:r>
      <w:r w:rsidR="00AB71BD">
        <w:rPr>
          <w:rFonts w:ascii="Arial" w:hAnsi="Arial" w:cs="Arial"/>
        </w:rPr>
        <w:t xml:space="preserve">for </w:t>
      </w:r>
      <w:r>
        <w:rPr>
          <w:rFonts w:ascii="Arial" w:hAnsi="Arial" w:cs="Arial"/>
        </w:rPr>
        <w:t xml:space="preserve">just 1 </w:t>
      </w:r>
      <w:r w:rsidR="00AB71BD">
        <w:rPr>
          <w:rFonts w:ascii="Arial" w:hAnsi="Arial" w:cs="Arial"/>
        </w:rPr>
        <w:t xml:space="preserve">additional unit </w:t>
      </w:r>
      <w:r>
        <w:rPr>
          <w:rFonts w:ascii="Arial" w:hAnsi="Arial" w:cs="Arial"/>
        </w:rPr>
        <w:t>(10</w:t>
      </w:r>
      <w:r w:rsidR="00174088">
        <w:rPr>
          <w:rFonts w:ascii="Arial" w:hAnsi="Arial" w:cs="Arial"/>
        </w:rPr>
        <w:t xml:space="preserve"> units being</w:t>
      </w:r>
      <w:r>
        <w:rPr>
          <w:rFonts w:ascii="Arial" w:hAnsi="Arial" w:cs="Arial"/>
        </w:rPr>
        <w:t xml:space="preserve"> included in deadband)</w:t>
      </w:r>
      <w:r w:rsidR="00FC242F">
        <w:rPr>
          <w:rFonts w:ascii="Arial" w:hAnsi="Arial" w:cs="Arial"/>
        </w:rPr>
        <w:t>?</w:t>
      </w:r>
      <w:r>
        <w:rPr>
          <w:rFonts w:ascii="Arial" w:hAnsi="Arial" w:cs="Arial"/>
        </w:rPr>
        <w:t xml:space="preserve"> </w:t>
      </w:r>
      <w:r w:rsidR="00F04CF6">
        <w:rPr>
          <w:rFonts w:ascii="Arial" w:hAnsi="Arial" w:cs="Arial"/>
        </w:rPr>
        <w:t xml:space="preserve"> </w:t>
      </w:r>
      <w:r w:rsidR="000C641F">
        <w:rPr>
          <w:rFonts w:ascii="Arial" w:hAnsi="Arial" w:cs="Arial"/>
        </w:rPr>
        <w:t>W</w:t>
      </w:r>
      <w:r>
        <w:rPr>
          <w:rFonts w:ascii="Arial" w:hAnsi="Arial" w:cs="Arial"/>
        </w:rPr>
        <w:t xml:space="preserve">hich of these </w:t>
      </w:r>
      <w:r w:rsidR="00E93B7C">
        <w:rPr>
          <w:rFonts w:ascii="Arial" w:hAnsi="Arial" w:cs="Arial"/>
        </w:rPr>
        <w:t>two approaches</w:t>
      </w:r>
      <w:r w:rsidR="000C641F">
        <w:rPr>
          <w:rFonts w:ascii="Arial" w:hAnsi="Arial" w:cs="Arial"/>
        </w:rPr>
        <w:t xml:space="preserve"> </w:t>
      </w:r>
      <w:r w:rsidR="00174088">
        <w:rPr>
          <w:rFonts w:ascii="Arial" w:hAnsi="Arial" w:cs="Arial"/>
        </w:rPr>
        <w:t xml:space="preserve">the Customer </w:t>
      </w:r>
      <w:r>
        <w:rPr>
          <w:rFonts w:ascii="Arial" w:hAnsi="Arial" w:cs="Arial"/>
        </w:rPr>
        <w:t>pick</w:t>
      </w:r>
      <w:r w:rsidR="00174088">
        <w:rPr>
          <w:rFonts w:ascii="Arial" w:hAnsi="Arial" w:cs="Arial"/>
        </w:rPr>
        <w:t>s</w:t>
      </w:r>
      <w:r>
        <w:rPr>
          <w:rFonts w:ascii="Arial" w:hAnsi="Arial" w:cs="Arial"/>
        </w:rPr>
        <w:t xml:space="preserve"> depends on which way </w:t>
      </w:r>
      <w:r w:rsidR="00174088">
        <w:rPr>
          <w:rFonts w:ascii="Arial" w:hAnsi="Arial" w:cs="Arial"/>
        </w:rPr>
        <w:t>the Customer</w:t>
      </w:r>
      <w:r>
        <w:rPr>
          <w:rFonts w:ascii="Arial" w:hAnsi="Arial" w:cs="Arial"/>
        </w:rPr>
        <w:t xml:space="preserve"> think</w:t>
      </w:r>
      <w:r w:rsidR="00174088">
        <w:rPr>
          <w:rFonts w:ascii="Arial" w:hAnsi="Arial" w:cs="Arial"/>
        </w:rPr>
        <w:t>s</w:t>
      </w:r>
      <w:r>
        <w:rPr>
          <w:rFonts w:ascii="Arial" w:hAnsi="Arial" w:cs="Arial"/>
        </w:rPr>
        <w:t xml:space="preserve"> </w:t>
      </w:r>
      <w:r w:rsidR="00174088">
        <w:rPr>
          <w:rFonts w:ascii="Arial" w:hAnsi="Arial" w:cs="Arial"/>
        </w:rPr>
        <w:t>its</w:t>
      </w:r>
      <w:r>
        <w:rPr>
          <w:rFonts w:ascii="Arial" w:hAnsi="Arial" w:cs="Arial"/>
        </w:rPr>
        <w:t xml:space="preserve"> volume</w:t>
      </w:r>
      <w:r w:rsidR="002A6AD1">
        <w:rPr>
          <w:rFonts w:ascii="Arial" w:hAnsi="Arial" w:cs="Arial"/>
        </w:rPr>
        <w:t>s</w:t>
      </w:r>
      <w:r>
        <w:rPr>
          <w:rFonts w:ascii="Arial" w:hAnsi="Arial" w:cs="Arial"/>
        </w:rPr>
        <w:t xml:space="preserve"> will </w:t>
      </w:r>
      <w:r w:rsidR="000C641F">
        <w:rPr>
          <w:rFonts w:ascii="Arial" w:hAnsi="Arial" w:cs="Arial"/>
        </w:rPr>
        <w:t>trend over</w:t>
      </w:r>
      <w:r>
        <w:rPr>
          <w:rFonts w:ascii="Arial" w:hAnsi="Arial" w:cs="Arial"/>
        </w:rPr>
        <w:t xml:space="preserve"> the contract term. The base 100 units would always stay at the base price. </w:t>
      </w:r>
      <w:r w:rsidR="000C641F">
        <w:rPr>
          <w:rFonts w:ascii="Arial" w:hAnsi="Arial" w:cs="Arial"/>
        </w:rPr>
        <w:t>I</w:t>
      </w:r>
      <w:r>
        <w:rPr>
          <w:rFonts w:ascii="Arial" w:hAnsi="Arial" w:cs="Arial"/>
        </w:rPr>
        <w:t xml:space="preserve">f </w:t>
      </w:r>
      <w:r w:rsidR="00174088">
        <w:rPr>
          <w:rFonts w:ascii="Arial" w:hAnsi="Arial" w:cs="Arial"/>
        </w:rPr>
        <w:t xml:space="preserve">the </w:t>
      </w:r>
      <w:r w:rsidR="00AB71BD">
        <w:rPr>
          <w:rFonts w:ascii="Arial" w:hAnsi="Arial" w:cs="Arial"/>
        </w:rPr>
        <w:t>C</w:t>
      </w:r>
      <w:r w:rsidR="00174088">
        <w:rPr>
          <w:rFonts w:ascii="Arial" w:hAnsi="Arial" w:cs="Arial"/>
        </w:rPr>
        <w:t>ustomer</w:t>
      </w:r>
      <w:r>
        <w:rPr>
          <w:rFonts w:ascii="Arial" w:hAnsi="Arial" w:cs="Arial"/>
        </w:rPr>
        <w:t xml:space="preserve"> pick</w:t>
      </w:r>
      <w:r w:rsidR="00174088">
        <w:rPr>
          <w:rFonts w:ascii="Arial" w:hAnsi="Arial" w:cs="Arial"/>
        </w:rPr>
        <w:t>s</w:t>
      </w:r>
      <w:r>
        <w:rPr>
          <w:rFonts w:ascii="Arial" w:hAnsi="Arial" w:cs="Arial"/>
        </w:rPr>
        <w:t xml:space="preserve"> the </w:t>
      </w:r>
      <w:r w:rsidR="00A511FD">
        <w:rPr>
          <w:rFonts w:ascii="Arial" w:hAnsi="Arial" w:cs="Arial"/>
        </w:rPr>
        <w:t>option of</w:t>
      </w:r>
      <w:r>
        <w:rPr>
          <w:rFonts w:ascii="Arial" w:hAnsi="Arial" w:cs="Arial"/>
        </w:rPr>
        <w:t xml:space="preserve"> just pay</w:t>
      </w:r>
      <w:r w:rsidR="00174088">
        <w:rPr>
          <w:rFonts w:ascii="Arial" w:hAnsi="Arial" w:cs="Arial"/>
        </w:rPr>
        <w:t>ing</w:t>
      </w:r>
      <w:r>
        <w:rPr>
          <w:rFonts w:ascii="Arial" w:hAnsi="Arial" w:cs="Arial"/>
        </w:rPr>
        <w:t xml:space="preserve"> for the </w:t>
      </w:r>
      <w:r w:rsidR="0030157B">
        <w:rPr>
          <w:rFonts w:ascii="Arial" w:hAnsi="Arial" w:cs="Arial"/>
        </w:rPr>
        <w:t>one additional resource unit</w:t>
      </w:r>
      <w:r>
        <w:rPr>
          <w:rFonts w:ascii="Arial" w:hAnsi="Arial" w:cs="Arial"/>
        </w:rPr>
        <w:t xml:space="preserve"> in this example </w:t>
      </w:r>
      <w:r w:rsidR="00E93B7C">
        <w:rPr>
          <w:rFonts w:ascii="Arial" w:hAnsi="Arial" w:cs="Arial"/>
        </w:rPr>
        <w:t xml:space="preserve">where it requires </w:t>
      </w:r>
      <w:r>
        <w:rPr>
          <w:rFonts w:ascii="Arial" w:hAnsi="Arial" w:cs="Arial"/>
        </w:rPr>
        <w:t xml:space="preserve">111 units, then the same applies in the RRC </w:t>
      </w:r>
      <w:r w:rsidR="00E93B7C">
        <w:rPr>
          <w:rFonts w:ascii="Arial" w:hAnsi="Arial" w:cs="Arial"/>
        </w:rPr>
        <w:t>situation</w:t>
      </w:r>
      <w:r>
        <w:rPr>
          <w:rFonts w:ascii="Arial" w:hAnsi="Arial" w:cs="Arial"/>
        </w:rPr>
        <w:t xml:space="preserve"> when </w:t>
      </w:r>
      <w:r w:rsidR="00174088">
        <w:rPr>
          <w:rFonts w:ascii="Arial" w:hAnsi="Arial" w:cs="Arial"/>
        </w:rPr>
        <w:t xml:space="preserve">the Customer </w:t>
      </w:r>
      <w:r w:rsidR="00E93B7C">
        <w:rPr>
          <w:rFonts w:ascii="Arial" w:hAnsi="Arial" w:cs="Arial"/>
        </w:rPr>
        <w:t>requires only</w:t>
      </w:r>
      <w:r w:rsidR="00174088">
        <w:rPr>
          <w:rFonts w:ascii="Arial" w:hAnsi="Arial" w:cs="Arial"/>
        </w:rPr>
        <w:t xml:space="preserve"> 89 units</w:t>
      </w:r>
      <w:r>
        <w:rPr>
          <w:rFonts w:ascii="Arial" w:hAnsi="Arial" w:cs="Arial"/>
        </w:rPr>
        <w:t xml:space="preserve">. </w:t>
      </w:r>
      <w:r w:rsidR="00174088">
        <w:rPr>
          <w:rFonts w:ascii="Arial" w:hAnsi="Arial" w:cs="Arial"/>
        </w:rPr>
        <w:t xml:space="preserve"> The </w:t>
      </w:r>
      <w:r w:rsidR="00A511FD">
        <w:rPr>
          <w:rFonts w:ascii="Arial" w:hAnsi="Arial" w:cs="Arial"/>
        </w:rPr>
        <w:t>Customer would</w:t>
      </w:r>
      <w:r>
        <w:rPr>
          <w:rFonts w:ascii="Arial" w:hAnsi="Arial" w:cs="Arial"/>
        </w:rPr>
        <w:t xml:space="preserve"> pay the 100 unit baseline price all the way down to 90 units. The next </w:t>
      </w:r>
      <w:r w:rsidR="00174088">
        <w:rPr>
          <w:rFonts w:ascii="Arial" w:hAnsi="Arial" w:cs="Arial"/>
        </w:rPr>
        <w:t xml:space="preserve">one-unit reduction, getting </w:t>
      </w:r>
      <w:r>
        <w:rPr>
          <w:rFonts w:ascii="Arial" w:hAnsi="Arial" w:cs="Arial"/>
        </w:rPr>
        <w:t>to 89, reduce</w:t>
      </w:r>
      <w:r w:rsidR="00174088">
        <w:rPr>
          <w:rFonts w:ascii="Arial" w:hAnsi="Arial" w:cs="Arial"/>
        </w:rPr>
        <w:t>s</w:t>
      </w:r>
      <w:r>
        <w:rPr>
          <w:rFonts w:ascii="Arial" w:hAnsi="Arial" w:cs="Arial"/>
        </w:rPr>
        <w:t xml:space="preserve"> the overall price by just one RRC priced unit (in spite of thinking </w:t>
      </w:r>
      <w:r w:rsidR="00174088">
        <w:rPr>
          <w:rFonts w:ascii="Arial" w:hAnsi="Arial" w:cs="Arial"/>
        </w:rPr>
        <w:t xml:space="preserve">the Customer </w:t>
      </w:r>
      <w:r>
        <w:rPr>
          <w:rFonts w:ascii="Arial" w:hAnsi="Arial" w:cs="Arial"/>
        </w:rPr>
        <w:t xml:space="preserve">should get a price break for the </w:t>
      </w:r>
      <w:r w:rsidR="00AB71BD">
        <w:rPr>
          <w:rFonts w:ascii="Arial" w:hAnsi="Arial" w:cs="Arial"/>
        </w:rPr>
        <w:t>ten</w:t>
      </w:r>
      <w:r>
        <w:rPr>
          <w:rFonts w:ascii="Arial" w:hAnsi="Arial" w:cs="Arial"/>
        </w:rPr>
        <w:t xml:space="preserve"> </w:t>
      </w:r>
      <w:r w:rsidR="00174088">
        <w:rPr>
          <w:rFonts w:ascii="Arial" w:hAnsi="Arial" w:cs="Arial"/>
        </w:rPr>
        <w:t>unit</w:t>
      </w:r>
      <w:r w:rsidR="00AB71BD">
        <w:rPr>
          <w:rFonts w:ascii="Arial" w:hAnsi="Arial" w:cs="Arial"/>
        </w:rPr>
        <w:t>s</w:t>
      </w:r>
      <w:r w:rsidR="00174088">
        <w:rPr>
          <w:rFonts w:ascii="Arial" w:hAnsi="Arial" w:cs="Arial"/>
        </w:rPr>
        <w:t xml:space="preserve"> it no longer needs</w:t>
      </w:r>
      <w:r>
        <w:rPr>
          <w:rFonts w:ascii="Arial" w:hAnsi="Arial" w:cs="Arial"/>
        </w:rPr>
        <w:t>).</w:t>
      </w:r>
    </w:p>
    <w:p w:rsidR="00BA5754" w:rsidRDefault="00BA5754" w:rsidP="00BA5754">
      <w:pPr>
        <w:autoSpaceDE w:val="0"/>
        <w:autoSpaceDN w:val="0"/>
        <w:rPr>
          <w:rFonts w:ascii="Arial" w:hAnsi="Arial" w:cs="Arial"/>
        </w:rPr>
      </w:pPr>
      <w:r>
        <w:rPr>
          <w:rFonts w:ascii="Arial" w:hAnsi="Arial" w:cs="Arial"/>
        </w:rPr>
        <w:t> </w:t>
      </w:r>
    </w:p>
    <w:p w:rsidR="00210D5F" w:rsidRDefault="00210D5F" w:rsidP="00E71A40">
      <w:pPr>
        <w:spacing w:after="200" w:line="276" w:lineRule="auto"/>
        <w:rPr>
          <w:rFonts w:ascii="Arial" w:hAnsi="Arial" w:cs="Arial"/>
        </w:rPr>
      </w:pPr>
      <w:r>
        <w:rPr>
          <w:rFonts w:ascii="Arial" w:hAnsi="Arial" w:cs="Arial"/>
        </w:rPr>
        <w:t>The chart below clearly shows the model:</w:t>
      </w:r>
    </w:p>
    <w:p w:rsidR="00F4128D" w:rsidRDefault="00F4128D" w:rsidP="00BA5754">
      <w:pPr>
        <w:autoSpaceDE w:val="0"/>
        <w:autoSpaceDN w:val="0"/>
        <w:rPr>
          <w:rFonts w:ascii="Arial" w:hAnsi="Arial" w:cs="Arial"/>
        </w:rPr>
      </w:pPr>
    </w:p>
    <w:p w:rsidR="00F4128D" w:rsidRDefault="00F4128D" w:rsidP="005A4D09">
      <w:pPr>
        <w:autoSpaceDE w:val="0"/>
        <w:autoSpaceDN w:val="0"/>
        <w:jc w:val="center"/>
        <w:rPr>
          <w:rFonts w:ascii="Arial" w:hAnsi="Arial" w:cs="Arial"/>
        </w:rPr>
      </w:pPr>
      <w:r w:rsidRPr="00F4128D">
        <w:rPr>
          <w:rFonts w:ascii="Arial" w:hAnsi="Arial" w:cs="Arial"/>
          <w:noProof/>
        </w:rPr>
        <w:drawing>
          <wp:inline distT="0" distB="0" distL="0" distR="0">
            <wp:extent cx="5208558" cy="3444452"/>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stretch>
                      <a:fillRect/>
                    </a:stretch>
                  </pic:blipFill>
                  <pic:spPr>
                    <a:xfrm>
                      <a:off x="0" y="0"/>
                      <a:ext cx="5209275" cy="3444926"/>
                    </a:xfrm>
                    <a:prstGeom prst="rect">
                      <a:avLst/>
                    </a:prstGeom>
                  </pic:spPr>
                </pic:pic>
              </a:graphicData>
            </a:graphic>
          </wp:inline>
        </w:drawing>
      </w:r>
    </w:p>
    <w:p w:rsidR="00F4128D" w:rsidRDefault="00F4128D" w:rsidP="00BA5754">
      <w:pPr>
        <w:autoSpaceDE w:val="0"/>
        <w:autoSpaceDN w:val="0"/>
        <w:rPr>
          <w:rFonts w:ascii="Arial" w:hAnsi="Arial" w:cs="Arial"/>
        </w:rPr>
      </w:pPr>
    </w:p>
    <w:p w:rsidR="00BA5754" w:rsidRDefault="00BA5754" w:rsidP="00BA5754">
      <w:pPr>
        <w:autoSpaceDE w:val="0"/>
        <w:autoSpaceDN w:val="0"/>
        <w:rPr>
          <w:rFonts w:ascii="Arial" w:hAnsi="Arial" w:cs="Arial"/>
        </w:rPr>
      </w:pPr>
      <w:r>
        <w:rPr>
          <w:rFonts w:ascii="Arial" w:hAnsi="Arial" w:cs="Arial"/>
        </w:rPr>
        <w:t xml:space="preserve">A big caution for </w:t>
      </w:r>
      <w:r w:rsidR="003338A8">
        <w:rPr>
          <w:rFonts w:ascii="Arial" w:hAnsi="Arial" w:cs="Arial"/>
        </w:rPr>
        <w:t>Customers</w:t>
      </w:r>
      <w:r w:rsidR="002A6AD1">
        <w:rPr>
          <w:rFonts w:ascii="Arial" w:hAnsi="Arial" w:cs="Arial"/>
        </w:rPr>
        <w:t xml:space="preserve"> and Service </w:t>
      </w:r>
      <w:r w:rsidR="00A511FD">
        <w:rPr>
          <w:rFonts w:ascii="Arial" w:hAnsi="Arial" w:cs="Arial"/>
        </w:rPr>
        <w:t>Providers from</w:t>
      </w:r>
      <w:r>
        <w:rPr>
          <w:rFonts w:ascii="Arial" w:hAnsi="Arial" w:cs="Arial"/>
        </w:rPr>
        <w:t xml:space="preserve"> our experience: </w:t>
      </w:r>
      <w:r w:rsidR="002A6AD1">
        <w:rPr>
          <w:rFonts w:ascii="Arial" w:hAnsi="Arial" w:cs="Arial"/>
        </w:rPr>
        <w:t xml:space="preserve">both parties </w:t>
      </w:r>
      <w:r w:rsidR="003338A8">
        <w:rPr>
          <w:rFonts w:ascii="Arial" w:hAnsi="Arial" w:cs="Arial"/>
        </w:rPr>
        <w:t xml:space="preserve">should </w:t>
      </w:r>
      <w:r w:rsidR="002A6AD1">
        <w:rPr>
          <w:rFonts w:ascii="Arial" w:hAnsi="Arial" w:cs="Arial"/>
        </w:rPr>
        <w:t xml:space="preserve">ensure there is </w:t>
      </w:r>
      <w:r>
        <w:rPr>
          <w:rFonts w:ascii="Arial" w:hAnsi="Arial" w:cs="Arial"/>
        </w:rPr>
        <w:t>a</w:t>
      </w:r>
      <w:r w:rsidR="00AB71BD">
        <w:rPr>
          <w:rFonts w:ascii="Arial" w:hAnsi="Arial" w:cs="Arial"/>
        </w:rPr>
        <w:t xml:space="preserve"> </w:t>
      </w:r>
      <w:r>
        <w:rPr>
          <w:rFonts w:ascii="Arial" w:hAnsi="Arial" w:cs="Arial"/>
        </w:rPr>
        <w:t xml:space="preserve">top and bottom to the ARC and RRC model volume bands. The ARC and RRC model will not work for both parties </w:t>
      </w:r>
      <w:r w:rsidR="00AB71BD" w:rsidRPr="00AB71BD">
        <w:rPr>
          <w:rFonts w:ascii="Arial" w:hAnsi="Arial" w:cs="Arial"/>
          <w:i/>
        </w:rPr>
        <w:t xml:space="preserve">ad </w:t>
      </w:r>
      <w:r w:rsidRPr="00AB71BD">
        <w:rPr>
          <w:rFonts w:ascii="Arial" w:hAnsi="Arial" w:cs="Arial"/>
          <w:i/>
        </w:rPr>
        <w:t>infinitum</w:t>
      </w:r>
      <w:r>
        <w:rPr>
          <w:rFonts w:ascii="Arial" w:hAnsi="Arial" w:cs="Arial"/>
        </w:rPr>
        <w:t xml:space="preserve">. At some point in the +/- math, the economics no longer work for the </w:t>
      </w:r>
      <w:r w:rsidR="003338A8">
        <w:rPr>
          <w:rFonts w:ascii="Arial" w:hAnsi="Arial" w:cs="Arial"/>
        </w:rPr>
        <w:t>Service Provider</w:t>
      </w:r>
      <w:r>
        <w:rPr>
          <w:rFonts w:ascii="Arial" w:hAnsi="Arial" w:cs="Arial"/>
        </w:rPr>
        <w:t xml:space="preserve"> or the </w:t>
      </w:r>
      <w:r w:rsidR="003338A8">
        <w:rPr>
          <w:rFonts w:ascii="Arial" w:hAnsi="Arial" w:cs="Arial"/>
        </w:rPr>
        <w:t>Customer</w:t>
      </w:r>
      <w:r>
        <w:rPr>
          <w:rFonts w:ascii="Arial" w:hAnsi="Arial" w:cs="Arial"/>
        </w:rPr>
        <w:t>.</w:t>
      </w:r>
      <w:r w:rsidR="00AB71BD">
        <w:rPr>
          <w:rFonts w:ascii="Arial" w:hAnsi="Arial" w:cs="Arial"/>
        </w:rPr>
        <w:t xml:space="preserve"> </w:t>
      </w:r>
      <w:r>
        <w:rPr>
          <w:rFonts w:ascii="Arial" w:hAnsi="Arial" w:cs="Arial"/>
        </w:rPr>
        <w:t xml:space="preserve"> If the </w:t>
      </w:r>
      <w:r w:rsidR="00A96B55">
        <w:rPr>
          <w:rFonts w:ascii="Arial" w:hAnsi="Arial" w:cs="Arial"/>
        </w:rPr>
        <w:t>reduction in the number of resource units is too large</w:t>
      </w:r>
      <w:r w:rsidR="000C641F">
        <w:rPr>
          <w:rFonts w:ascii="Arial" w:hAnsi="Arial" w:cs="Arial"/>
        </w:rPr>
        <w:t xml:space="preserve"> (e.g. 30-50% of deadband volume)</w:t>
      </w:r>
      <w:r>
        <w:rPr>
          <w:rFonts w:ascii="Arial" w:hAnsi="Arial" w:cs="Arial"/>
        </w:rPr>
        <w:t xml:space="preserve">, the </w:t>
      </w:r>
      <w:r w:rsidR="003338A8">
        <w:rPr>
          <w:rFonts w:ascii="Arial" w:hAnsi="Arial" w:cs="Arial"/>
        </w:rPr>
        <w:t>Service P</w:t>
      </w:r>
      <w:r>
        <w:rPr>
          <w:rFonts w:ascii="Arial" w:hAnsi="Arial" w:cs="Arial"/>
        </w:rPr>
        <w:t>rovider can</w:t>
      </w:r>
      <w:r w:rsidR="00E93B7C">
        <w:rPr>
          <w:rFonts w:ascii="Arial" w:hAnsi="Arial" w:cs="Arial"/>
        </w:rPr>
        <w:t>not</w:t>
      </w:r>
      <w:r>
        <w:rPr>
          <w:rFonts w:ascii="Arial" w:hAnsi="Arial" w:cs="Arial"/>
        </w:rPr>
        <w:t xml:space="preserve"> sustain service delivery. </w:t>
      </w:r>
      <w:r w:rsidR="000C641F">
        <w:rPr>
          <w:rFonts w:ascii="Arial" w:hAnsi="Arial" w:cs="Arial"/>
        </w:rPr>
        <w:t>Conversely, i</w:t>
      </w:r>
      <w:r>
        <w:rPr>
          <w:rFonts w:ascii="Arial" w:hAnsi="Arial" w:cs="Arial"/>
        </w:rPr>
        <w:t xml:space="preserve">f the </w:t>
      </w:r>
      <w:r w:rsidR="00A96B55">
        <w:rPr>
          <w:rFonts w:ascii="Arial" w:hAnsi="Arial" w:cs="Arial"/>
        </w:rPr>
        <w:t>number of additional resources required is huge</w:t>
      </w:r>
      <w:r>
        <w:rPr>
          <w:rFonts w:ascii="Arial" w:hAnsi="Arial" w:cs="Arial"/>
        </w:rPr>
        <w:t xml:space="preserve"> (say 150</w:t>
      </w:r>
      <w:r w:rsidR="00A96B55">
        <w:rPr>
          <w:rFonts w:ascii="Arial" w:hAnsi="Arial" w:cs="Arial"/>
        </w:rPr>
        <w:t>-</w:t>
      </w:r>
      <w:r>
        <w:rPr>
          <w:rFonts w:ascii="Arial" w:hAnsi="Arial" w:cs="Arial"/>
        </w:rPr>
        <w:t xml:space="preserve">200% of the deadband), the </w:t>
      </w:r>
      <w:r w:rsidR="003338A8">
        <w:rPr>
          <w:rFonts w:ascii="Arial" w:hAnsi="Arial" w:cs="Arial"/>
        </w:rPr>
        <w:t>Customer</w:t>
      </w:r>
      <w:r>
        <w:rPr>
          <w:rFonts w:ascii="Arial" w:hAnsi="Arial" w:cs="Arial"/>
        </w:rPr>
        <w:t xml:space="preserve"> should be getting much lower overall pric</w:t>
      </w:r>
      <w:r w:rsidR="00E93B7C">
        <w:rPr>
          <w:rFonts w:ascii="Arial" w:hAnsi="Arial" w:cs="Arial"/>
        </w:rPr>
        <w:t>ing</w:t>
      </w:r>
      <w:r>
        <w:rPr>
          <w:rFonts w:ascii="Arial" w:hAnsi="Arial" w:cs="Arial"/>
        </w:rPr>
        <w:t xml:space="preserve"> for this material growth</w:t>
      </w:r>
      <w:r w:rsidR="00730D36">
        <w:rPr>
          <w:rFonts w:ascii="Arial" w:hAnsi="Arial" w:cs="Arial"/>
        </w:rPr>
        <w:t>,</w:t>
      </w:r>
      <w:r>
        <w:rPr>
          <w:rFonts w:ascii="Arial" w:hAnsi="Arial" w:cs="Arial"/>
        </w:rPr>
        <w:t xml:space="preserve"> and a re-negotiation and resetting of the deadband needs to occur. Hence </w:t>
      </w:r>
      <w:r w:rsidR="003338A8">
        <w:rPr>
          <w:rFonts w:ascii="Arial" w:hAnsi="Arial" w:cs="Arial"/>
        </w:rPr>
        <w:t xml:space="preserve">we </w:t>
      </w:r>
      <w:r>
        <w:rPr>
          <w:rFonts w:ascii="Arial" w:hAnsi="Arial" w:cs="Arial"/>
        </w:rPr>
        <w:t xml:space="preserve">recommend </w:t>
      </w:r>
      <w:r w:rsidR="003338A8">
        <w:rPr>
          <w:rFonts w:ascii="Arial" w:hAnsi="Arial" w:cs="Arial"/>
        </w:rPr>
        <w:t>that Customers and Service Providers</w:t>
      </w:r>
      <w:r>
        <w:rPr>
          <w:rFonts w:ascii="Arial" w:hAnsi="Arial" w:cs="Arial"/>
        </w:rPr>
        <w:t xml:space="preserve"> pick a cap for both ARC</w:t>
      </w:r>
      <w:r w:rsidR="003338A8">
        <w:rPr>
          <w:rFonts w:ascii="Arial" w:hAnsi="Arial" w:cs="Arial"/>
        </w:rPr>
        <w:t>s</w:t>
      </w:r>
      <w:r>
        <w:rPr>
          <w:rFonts w:ascii="Arial" w:hAnsi="Arial" w:cs="Arial"/>
        </w:rPr>
        <w:t xml:space="preserve"> and RRC</w:t>
      </w:r>
      <w:r w:rsidR="003338A8">
        <w:rPr>
          <w:rFonts w:ascii="Arial" w:hAnsi="Arial" w:cs="Arial"/>
        </w:rPr>
        <w:t>s</w:t>
      </w:r>
      <w:r>
        <w:rPr>
          <w:rFonts w:ascii="Arial" w:hAnsi="Arial" w:cs="Arial"/>
        </w:rPr>
        <w:t>, based on acceptable volume fluctuations (</w:t>
      </w:r>
      <w:r w:rsidR="00FC242F">
        <w:rPr>
          <w:rFonts w:ascii="Arial" w:hAnsi="Arial" w:cs="Arial"/>
        </w:rPr>
        <w:t>e.g.</w:t>
      </w:r>
      <w:r>
        <w:rPr>
          <w:rFonts w:ascii="Arial" w:hAnsi="Arial" w:cs="Arial"/>
        </w:rPr>
        <w:t xml:space="preserve"> +/- 30-40%).</w:t>
      </w:r>
    </w:p>
    <w:p w:rsidR="00E93B7C" w:rsidRDefault="00E93B7C" w:rsidP="00BA5754">
      <w:pPr>
        <w:autoSpaceDE w:val="0"/>
        <w:autoSpaceDN w:val="0"/>
        <w:rPr>
          <w:rFonts w:ascii="Arial" w:hAnsi="Arial" w:cs="Arial"/>
        </w:rPr>
      </w:pPr>
    </w:p>
    <w:p w:rsidR="00E93B7C" w:rsidRDefault="00E93B7C" w:rsidP="00BA5754">
      <w:pPr>
        <w:autoSpaceDE w:val="0"/>
        <w:autoSpaceDN w:val="0"/>
        <w:rPr>
          <w:rFonts w:ascii="Arial" w:hAnsi="Arial" w:cs="Arial"/>
        </w:rPr>
      </w:pPr>
      <w:r>
        <w:rPr>
          <w:rFonts w:ascii="Arial" w:hAnsi="Arial" w:cs="Arial"/>
          <w:lang w:val="en-US"/>
        </w:rPr>
        <w:t>Of course, this does raise the issue of what happens if resource consumption exceeds the top end of the ARC range or falls below the bottom end of the RRC range.  The Outsourcing Agreement will usually deal with this issue.  The Service Provider’s supply obligations may be relaxed for consumption above the top end of the ARC range so that, rather than being required to provide the additional resources to the Customer, the Service Provider may only be required to use reasonable efforts to do so.  Where the Customer’s resource consumption is below the bottom end of the RRC range, the Customer may be required to pay for the resources even though they were not consumed.  If this happens on a regular basis, the pricing in the Outsourcing Agreement will need to be re</w:t>
      </w:r>
      <w:r w:rsidR="0030157B">
        <w:rPr>
          <w:rFonts w:ascii="Arial" w:hAnsi="Arial" w:cs="Arial"/>
          <w:lang w:val="en-US"/>
        </w:rPr>
        <w:t>-</w:t>
      </w:r>
      <w:r>
        <w:rPr>
          <w:rFonts w:ascii="Arial" w:hAnsi="Arial" w:cs="Arial"/>
          <w:lang w:val="en-US"/>
        </w:rPr>
        <w:t>negotiated</w:t>
      </w:r>
    </w:p>
    <w:p w:rsidR="00BA5754" w:rsidRDefault="00BA5754" w:rsidP="00BA5754"/>
    <w:p w:rsidR="002A1349" w:rsidRPr="00730D36" w:rsidRDefault="00BA5754">
      <w:pPr>
        <w:rPr>
          <w:rFonts w:ascii="Arial" w:hAnsi="Arial" w:cs="Arial"/>
          <w:b/>
        </w:rPr>
      </w:pPr>
      <w:r w:rsidRPr="00730D36">
        <w:rPr>
          <w:rFonts w:ascii="Arial" w:hAnsi="Arial" w:cs="Arial"/>
          <w:b/>
        </w:rPr>
        <w:t>AR</w:t>
      </w:r>
      <w:r w:rsidR="00730D36" w:rsidRPr="00730D36">
        <w:rPr>
          <w:rFonts w:ascii="Arial" w:hAnsi="Arial" w:cs="Arial"/>
          <w:b/>
        </w:rPr>
        <w:t>C/RRC Forecasting and Reporting</w:t>
      </w:r>
    </w:p>
    <w:p w:rsidR="003338A8" w:rsidRDefault="003338A8" w:rsidP="00BA5754">
      <w:pPr>
        <w:rPr>
          <w:rFonts w:ascii="Arial" w:hAnsi="Arial" w:cs="Arial"/>
          <w:color w:val="1F497D"/>
        </w:rPr>
      </w:pPr>
    </w:p>
    <w:p w:rsidR="00BA5754" w:rsidRPr="00730D36" w:rsidRDefault="003338A8" w:rsidP="00BA5754">
      <w:pPr>
        <w:rPr>
          <w:rFonts w:ascii="Arial" w:hAnsi="Arial" w:cs="Arial"/>
        </w:rPr>
      </w:pPr>
      <w:r w:rsidRPr="00730D36">
        <w:rPr>
          <w:rFonts w:ascii="Arial" w:hAnsi="Arial" w:cs="Arial"/>
        </w:rPr>
        <w:t xml:space="preserve">Forecasting and reporting on </w:t>
      </w:r>
      <w:r w:rsidR="00B6472D">
        <w:rPr>
          <w:rFonts w:ascii="Arial" w:hAnsi="Arial" w:cs="Arial"/>
        </w:rPr>
        <w:t>the</w:t>
      </w:r>
      <w:r w:rsidRPr="00730D36">
        <w:rPr>
          <w:rFonts w:ascii="Arial" w:hAnsi="Arial" w:cs="Arial"/>
        </w:rPr>
        <w:t xml:space="preserve"> consumption </w:t>
      </w:r>
      <w:r w:rsidR="00B6472D">
        <w:rPr>
          <w:rFonts w:ascii="Arial" w:hAnsi="Arial" w:cs="Arial"/>
        </w:rPr>
        <w:t xml:space="preserve">of resources and the ARC and RRC impact </w:t>
      </w:r>
      <w:r w:rsidRPr="00730D36">
        <w:rPr>
          <w:rFonts w:ascii="Arial" w:hAnsi="Arial" w:cs="Arial"/>
        </w:rPr>
        <w:t xml:space="preserve">is a critical component of any successful implementation of this pricing methodology.  </w:t>
      </w:r>
      <w:r w:rsidR="00BA5754" w:rsidRPr="00730D36">
        <w:rPr>
          <w:rFonts w:ascii="Arial" w:hAnsi="Arial" w:cs="Arial"/>
        </w:rPr>
        <w:t xml:space="preserve">Where the </w:t>
      </w:r>
      <w:r w:rsidRPr="00730D36">
        <w:rPr>
          <w:rFonts w:ascii="Arial" w:hAnsi="Arial" w:cs="Arial"/>
        </w:rPr>
        <w:t>S</w:t>
      </w:r>
      <w:r w:rsidR="00BA5754" w:rsidRPr="00730D36">
        <w:rPr>
          <w:rFonts w:ascii="Arial" w:hAnsi="Arial" w:cs="Arial"/>
        </w:rPr>
        <w:t xml:space="preserve">ervice </w:t>
      </w:r>
      <w:r w:rsidRPr="00730D36">
        <w:rPr>
          <w:rFonts w:ascii="Arial" w:hAnsi="Arial" w:cs="Arial"/>
        </w:rPr>
        <w:t>P</w:t>
      </w:r>
      <w:r w:rsidR="00BA5754" w:rsidRPr="00730D36">
        <w:rPr>
          <w:rFonts w:ascii="Arial" w:hAnsi="Arial" w:cs="Arial"/>
        </w:rPr>
        <w:t xml:space="preserve">rovider has resource </w:t>
      </w:r>
      <w:r w:rsidRPr="00730D36">
        <w:rPr>
          <w:rFonts w:ascii="Arial" w:hAnsi="Arial" w:cs="Arial"/>
        </w:rPr>
        <w:t>constraints, either positive or negative</w:t>
      </w:r>
      <w:r w:rsidR="00BA5754" w:rsidRPr="00730D36">
        <w:rPr>
          <w:rFonts w:ascii="Arial" w:hAnsi="Arial" w:cs="Arial"/>
        </w:rPr>
        <w:t xml:space="preserve">, it is likely to request </w:t>
      </w:r>
      <w:r w:rsidRPr="00730D36">
        <w:rPr>
          <w:rFonts w:ascii="Arial" w:hAnsi="Arial" w:cs="Arial"/>
        </w:rPr>
        <w:t xml:space="preserve">that the Customer provide </w:t>
      </w:r>
      <w:r w:rsidR="00BA5754" w:rsidRPr="00730D36">
        <w:rPr>
          <w:rFonts w:ascii="Arial" w:hAnsi="Arial" w:cs="Arial"/>
        </w:rPr>
        <w:t>forecast</w:t>
      </w:r>
      <w:r w:rsidRPr="00730D36">
        <w:rPr>
          <w:rFonts w:ascii="Arial" w:hAnsi="Arial" w:cs="Arial"/>
        </w:rPr>
        <w:t>s of</w:t>
      </w:r>
      <w:r w:rsidR="00BA5754" w:rsidRPr="00730D36">
        <w:rPr>
          <w:rFonts w:ascii="Arial" w:hAnsi="Arial" w:cs="Arial"/>
        </w:rPr>
        <w:t xml:space="preserve"> expected future volumes</w:t>
      </w:r>
      <w:r w:rsidRPr="00730D36">
        <w:rPr>
          <w:rFonts w:ascii="Arial" w:hAnsi="Arial" w:cs="Arial"/>
        </w:rPr>
        <w:t xml:space="preserve"> and with sufficient lead times.  The purpose of the forecasts is to allow the Service Provider to make necessary adjustments to accommodate Customer requirements</w:t>
      </w:r>
      <w:r w:rsidR="00BA5754" w:rsidRPr="00730D36">
        <w:rPr>
          <w:rFonts w:ascii="Arial" w:hAnsi="Arial" w:cs="Arial"/>
        </w:rPr>
        <w:t>.</w:t>
      </w:r>
      <w:r w:rsidR="007E20E9">
        <w:rPr>
          <w:rFonts w:ascii="Arial" w:hAnsi="Arial" w:cs="Arial"/>
        </w:rPr>
        <w:t xml:space="preserve">  </w:t>
      </w:r>
      <w:r w:rsidRPr="00730D36">
        <w:rPr>
          <w:rFonts w:ascii="Arial" w:hAnsi="Arial" w:cs="Arial"/>
        </w:rPr>
        <w:t>Similarly, w</w:t>
      </w:r>
      <w:r w:rsidR="00BA5754" w:rsidRPr="00730D36">
        <w:rPr>
          <w:rFonts w:ascii="Arial" w:hAnsi="Arial" w:cs="Arial"/>
        </w:rPr>
        <w:t xml:space="preserve">here the </w:t>
      </w:r>
      <w:r w:rsidRPr="00730D36">
        <w:rPr>
          <w:rFonts w:ascii="Arial" w:hAnsi="Arial" w:cs="Arial"/>
        </w:rPr>
        <w:t>C</w:t>
      </w:r>
      <w:r w:rsidR="00BA5754" w:rsidRPr="00730D36">
        <w:rPr>
          <w:rFonts w:ascii="Arial" w:hAnsi="Arial" w:cs="Arial"/>
        </w:rPr>
        <w:t xml:space="preserve">ustomer is subject to budgetary constraints, the </w:t>
      </w:r>
      <w:r w:rsidRPr="00730D36">
        <w:rPr>
          <w:rFonts w:ascii="Arial" w:hAnsi="Arial" w:cs="Arial"/>
        </w:rPr>
        <w:t>C</w:t>
      </w:r>
      <w:r w:rsidR="00BA5754" w:rsidRPr="00730D36">
        <w:rPr>
          <w:rFonts w:ascii="Arial" w:hAnsi="Arial" w:cs="Arial"/>
        </w:rPr>
        <w:t xml:space="preserve">ustomer </w:t>
      </w:r>
      <w:r w:rsidRPr="00730D36">
        <w:rPr>
          <w:rFonts w:ascii="Arial" w:hAnsi="Arial" w:cs="Arial"/>
        </w:rPr>
        <w:t>will</w:t>
      </w:r>
      <w:r w:rsidR="00BA5754" w:rsidRPr="00730D36">
        <w:rPr>
          <w:rFonts w:ascii="Arial" w:hAnsi="Arial" w:cs="Arial"/>
        </w:rPr>
        <w:t xml:space="preserve"> like</w:t>
      </w:r>
      <w:r w:rsidRPr="00730D36">
        <w:rPr>
          <w:rFonts w:ascii="Arial" w:hAnsi="Arial" w:cs="Arial"/>
        </w:rPr>
        <w:t>ly</w:t>
      </w:r>
      <w:r w:rsidR="00BA5754" w:rsidRPr="00730D36">
        <w:rPr>
          <w:rFonts w:ascii="Arial" w:hAnsi="Arial" w:cs="Arial"/>
        </w:rPr>
        <w:t xml:space="preserve"> want reporting of units consumed, in real time or near real time.  In some cases, the </w:t>
      </w:r>
      <w:r w:rsidR="005A7980" w:rsidRPr="00730D36">
        <w:rPr>
          <w:rFonts w:ascii="Arial" w:hAnsi="Arial" w:cs="Arial"/>
        </w:rPr>
        <w:t xml:space="preserve">Service Provider’s </w:t>
      </w:r>
      <w:r w:rsidR="00BA5754" w:rsidRPr="00730D36">
        <w:rPr>
          <w:rFonts w:ascii="Arial" w:hAnsi="Arial" w:cs="Arial"/>
        </w:rPr>
        <w:t xml:space="preserve">reporting of resource consumption may be simple because the information can be automatically generated.  If, however, the information needs to be collected, say from time sheets, there may be a time lag. </w:t>
      </w:r>
    </w:p>
    <w:p w:rsidR="00BA5754" w:rsidRPr="00730D36" w:rsidRDefault="00BA5754" w:rsidP="00BA5754">
      <w:pPr>
        <w:rPr>
          <w:rFonts w:ascii="Arial" w:hAnsi="Arial" w:cs="Arial"/>
        </w:rPr>
      </w:pPr>
    </w:p>
    <w:p w:rsidR="005A7980" w:rsidRPr="00730D36" w:rsidRDefault="005A7980" w:rsidP="00BA5754">
      <w:pPr>
        <w:rPr>
          <w:rFonts w:ascii="Arial" w:hAnsi="Arial" w:cs="Arial"/>
        </w:rPr>
      </w:pPr>
    </w:p>
    <w:p w:rsidR="005A7980" w:rsidRPr="00730D36" w:rsidRDefault="005A7980" w:rsidP="00BA5754">
      <w:pPr>
        <w:rPr>
          <w:rFonts w:ascii="Arial" w:hAnsi="Arial" w:cs="Arial"/>
          <w:b/>
        </w:rPr>
      </w:pPr>
      <w:r w:rsidRPr="00730D36">
        <w:rPr>
          <w:rFonts w:ascii="Arial" w:hAnsi="Arial" w:cs="Arial"/>
          <w:b/>
        </w:rPr>
        <w:t>Extending the ARC/RRC Methodology</w:t>
      </w:r>
    </w:p>
    <w:p w:rsidR="005A7980" w:rsidRPr="00730D36" w:rsidRDefault="005A7980" w:rsidP="00BA5754">
      <w:pPr>
        <w:rPr>
          <w:rFonts w:ascii="Arial" w:hAnsi="Arial" w:cs="Arial"/>
        </w:rPr>
      </w:pPr>
    </w:p>
    <w:p w:rsidR="008C2DA1" w:rsidRPr="00730D36" w:rsidRDefault="005A7980" w:rsidP="00BA5754">
      <w:pPr>
        <w:rPr>
          <w:rFonts w:ascii="Arial" w:hAnsi="Arial" w:cs="Arial"/>
        </w:rPr>
      </w:pPr>
      <w:r w:rsidRPr="00730D36">
        <w:rPr>
          <w:rFonts w:ascii="Arial" w:hAnsi="Arial" w:cs="Arial"/>
        </w:rPr>
        <w:t xml:space="preserve">The description above focussed on how the ARC/RRC methodology applies in a single month to a single resource unit/service tower.  </w:t>
      </w:r>
      <w:r w:rsidR="008C2DA1" w:rsidRPr="00730D36">
        <w:rPr>
          <w:rFonts w:ascii="Arial" w:hAnsi="Arial" w:cs="Arial"/>
        </w:rPr>
        <w:t xml:space="preserve">However ARC and RRC pricing is often used where there are multiple resource units/service towers </w:t>
      </w:r>
      <w:r w:rsidR="006A5AE8" w:rsidRPr="00730D36">
        <w:rPr>
          <w:rFonts w:ascii="Arial" w:hAnsi="Arial" w:cs="Arial"/>
        </w:rPr>
        <w:t>and</w:t>
      </w:r>
      <w:r w:rsidR="008C2DA1" w:rsidRPr="00730D36">
        <w:rPr>
          <w:rFonts w:ascii="Arial" w:hAnsi="Arial" w:cs="Arial"/>
        </w:rPr>
        <w:t xml:space="preserve"> over longer periods of time, e.g. across multiple months.</w:t>
      </w:r>
    </w:p>
    <w:p w:rsidR="00BA5754" w:rsidRPr="00730D36" w:rsidRDefault="00BA5754" w:rsidP="00BA5754">
      <w:pPr>
        <w:rPr>
          <w:rFonts w:ascii="Arial" w:hAnsi="Arial" w:cs="Arial"/>
        </w:rPr>
      </w:pPr>
    </w:p>
    <w:p w:rsidR="00BA5754" w:rsidRPr="00730D36" w:rsidRDefault="008C2DA1" w:rsidP="008C2DA1">
      <w:pPr>
        <w:tabs>
          <w:tab w:val="left" w:pos="720"/>
          <w:tab w:val="left" w:pos="1440"/>
        </w:tabs>
        <w:ind w:left="720" w:hanging="720"/>
        <w:rPr>
          <w:rFonts w:ascii="Arial" w:hAnsi="Arial" w:cs="Arial"/>
        </w:rPr>
      </w:pPr>
      <w:r w:rsidRPr="00730D36">
        <w:rPr>
          <w:rFonts w:ascii="Arial" w:hAnsi="Arial" w:cs="Arial"/>
        </w:rPr>
        <w:t>1.</w:t>
      </w:r>
      <w:r w:rsidRPr="00730D36">
        <w:rPr>
          <w:rFonts w:ascii="Arial" w:hAnsi="Arial" w:cs="Arial"/>
        </w:rPr>
        <w:tab/>
        <w:t xml:space="preserve">If there is </w:t>
      </w:r>
      <w:r w:rsidR="00BA5754" w:rsidRPr="00730D36">
        <w:rPr>
          <w:rFonts w:ascii="Arial" w:hAnsi="Arial" w:cs="Arial"/>
        </w:rPr>
        <w:t>more than one service tower and each service tower has its independent ARC and RRC pricing</w:t>
      </w:r>
      <w:r w:rsidRPr="00730D36">
        <w:rPr>
          <w:rFonts w:ascii="Arial" w:hAnsi="Arial" w:cs="Arial"/>
        </w:rPr>
        <w:t xml:space="preserve">, </w:t>
      </w:r>
      <w:r w:rsidR="00BA5754" w:rsidRPr="00730D36">
        <w:rPr>
          <w:rFonts w:ascii="Arial" w:hAnsi="Arial" w:cs="Arial"/>
        </w:rPr>
        <w:t xml:space="preserve">this has the potential to introduce larger revenue swings and perhaps </w:t>
      </w:r>
      <w:r w:rsidR="006A5AE8" w:rsidRPr="00730D36">
        <w:rPr>
          <w:rFonts w:ascii="Arial" w:hAnsi="Arial" w:cs="Arial"/>
        </w:rPr>
        <w:t xml:space="preserve">resourcing and </w:t>
      </w:r>
      <w:r w:rsidR="00BA5754" w:rsidRPr="00730D36">
        <w:rPr>
          <w:rFonts w:ascii="Arial" w:hAnsi="Arial" w:cs="Arial"/>
        </w:rPr>
        <w:t>invoicing challenges</w:t>
      </w:r>
      <w:r w:rsidR="00C05848" w:rsidRPr="00730D36">
        <w:rPr>
          <w:rFonts w:ascii="Arial" w:hAnsi="Arial" w:cs="Arial"/>
        </w:rPr>
        <w:t>.  However,</w:t>
      </w:r>
      <w:r w:rsidR="00BA5754" w:rsidRPr="00730D36">
        <w:rPr>
          <w:rFonts w:ascii="Arial" w:hAnsi="Arial" w:cs="Arial"/>
        </w:rPr>
        <w:t xml:space="preserve"> at first blush, </w:t>
      </w:r>
      <w:r w:rsidR="00C05848" w:rsidRPr="00730D36">
        <w:rPr>
          <w:rFonts w:ascii="Arial" w:hAnsi="Arial" w:cs="Arial"/>
        </w:rPr>
        <w:t xml:space="preserve">this </w:t>
      </w:r>
      <w:r w:rsidR="00BA5754" w:rsidRPr="00730D36">
        <w:rPr>
          <w:rFonts w:ascii="Arial" w:hAnsi="Arial" w:cs="Arial"/>
        </w:rPr>
        <w:t>does</w:t>
      </w:r>
      <w:r w:rsidR="00C05848" w:rsidRPr="00730D36">
        <w:rPr>
          <w:rFonts w:ascii="Arial" w:hAnsi="Arial" w:cs="Arial"/>
        </w:rPr>
        <w:t xml:space="preserve"> not</w:t>
      </w:r>
      <w:r w:rsidR="00BA5754" w:rsidRPr="00730D36">
        <w:rPr>
          <w:rFonts w:ascii="Arial" w:hAnsi="Arial" w:cs="Arial"/>
        </w:rPr>
        <w:t xml:space="preserve"> seem to make the analysis more complicated than </w:t>
      </w:r>
      <w:r w:rsidR="00C05848" w:rsidRPr="00730D36">
        <w:rPr>
          <w:rFonts w:ascii="Arial" w:hAnsi="Arial" w:cs="Arial"/>
        </w:rPr>
        <w:t xml:space="preserve">applying it to </w:t>
      </w:r>
      <w:r w:rsidR="00BA5754" w:rsidRPr="00730D36">
        <w:rPr>
          <w:rFonts w:ascii="Arial" w:hAnsi="Arial" w:cs="Arial"/>
        </w:rPr>
        <w:t>one service tower</w:t>
      </w:r>
      <w:r w:rsidR="00C05848" w:rsidRPr="00730D36">
        <w:rPr>
          <w:rFonts w:ascii="Arial" w:hAnsi="Arial" w:cs="Arial"/>
        </w:rPr>
        <w:t>, but</w:t>
      </w:r>
      <w:r w:rsidR="00BA5754" w:rsidRPr="00730D36">
        <w:rPr>
          <w:rFonts w:ascii="Arial" w:hAnsi="Arial" w:cs="Arial"/>
        </w:rPr>
        <w:t xml:space="preserve"> multiple times</w:t>
      </w:r>
      <w:r w:rsidR="0018078E" w:rsidRPr="00730D36">
        <w:rPr>
          <w:rFonts w:ascii="Arial" w:hAnsi="Arial" w:cs="Arial"/>
        </w:rPr>
        <w:t>.</w:t>
      </w:r>
    </w:p>
    <w:p w:rsidR="00BA5754" w:rsidRPr="00730D36" w:rsidRDefault="00BA5754" w:rsidP="008C2DA1">
      <w:pPr>
        <w:tabs>
          <w:tab w:val="left" w:pos="720"/>
          <w:tab w:val="left" w:pos="1440"/>
        </w:tabs>
        <w:rPr>
          <w:rFonts w:ascii="Arial" w:hAnsi="Arial" w:cs="Arial"/>
        </w:rPr>
      </w:pPr>
    </w:p>
    <w:p w:rsidR="00BA5754" w:rsidRPr="00730D36" w:rsidRDefault="00C05848" w:rsidP="008C2DA1">
      <w:pPr>
        <w:tabs>
          <w:tab w:val="left" w:pos="720"/>
          <w:tab w:val="left" w:pos="1440"/>
        </w:tabs>
        <w:ind w:left="720" w:hanging="720"/>
        <w:rPr>
          <w:rFonts w:ascii="Arial" w:hAnsi="Arial" w:cs="Arial"/>
        </w:rPr>
      </w:pPr>
      <w:r w:rsidRPr="00730D36">
        <w:rPr>
          <w:rFonts w:ascii="Arial" w:hAnsi="Arial" w:cs="Arial"/>
        </w:rPr>
        <w:t>2.</w:t>
      </w:r>
      <w:r w:rsidR="008C2DA1" w:rsidRPr="00730D36">
        <w:rPr>
          <w:rFonts w:ascii="Arial" w:hAnsi="Arial" w:cs="Arial"/>
        </w:rPr>
        <w:tab/>
      </w:r>
      <w:r w:rsidR="006A5AE8" w:rsidRPr="00730D36">
        <w:rPr>
          <w:rFonts w:ascii="Arial" w:hAnsi="Arial" w:cs="Arial"/>
        </w:rPr>
        <w:t xml:space="preserve">The analysis is more complicated when there is </w:t>
      </w:r>
      <w:r w:rsidR="00BA5754" w:rsidRPr="00730D36">
        <w:rPr>
          <w:rFonts w:ascii="Arial" w:hAnsi="Arial" w:cs="Arial"/>
        </w:rPr>
        <w:t xml:space="preserve">more than one service tower, each service tower has ARC and RRC pricing and there are connections between </w:t>
      </w:r>
      <w:r w:rsidR="006A5AE8" w:rsidRPr="00730D36">
        <w:rPr>
          <w:rFonts w:ascii="Arial" w:hAnsi="Arial" w:cs="Arial"/>
        </w:rPr>
        <w:t xml:space="preserve">the </w:t>
      </w:r>
      <w:r w:rsidR="00BA5754" w:rsidRPr="00730D36">
        <w:rPr>
          <w:rFonts w:ascii="Arial" w:hAnsi="Arial" w:cs="Arial"/>
        </w:rPr>
        <w:t>service tower pricing.</w:t>
      </w:r>
      <w:r w:rsidR="006A5AE8" w:rsidRPr="00730D36">
        <w:rPr>
          <w:rFonts w:ascii="Arial" w:hAnsi="Arial" w:cs="Arial"/>
        </w:rPr>
        <w:t xml:space="preserve"> This is the situation where the Service Provider’s </w:t>
      </w:r>
      <w:r w:rsidR="00BA5754" w:rsidRPr="00730D36">
        <w:rPr>
          <w:rFonts w:ascii="Arial" w:hAnsi="Arial" w:cs="Arial"/>
        </w:rPr>
        <w:t>resources</w:t>
      </w:r>
      <w:r w:rsidR="006A5AE8" w:rsidRPr="00730D36">
        <w:rPr>
          <w:rFonts w:ascii="Arial" w:hAnsi="Arial" w:cs="Arial"/>
        </w:rPr>
        <w:t>, e.g. employees,</w:t>
      </w:r>
      <w:r w:rsidR="00BA5754" w:rsidRPr="00730D36">
        <w:rPr>
          <w:rFonts w:ascii="Arial" w:hAnsi="Arial" w:cs="Arial"/>
        </w:rPr>
        <w:t xml:space="preserve"> can provide services to service tower A or service tower B</w:t>
      </w:r>
      <w:r w:rsidR="00730D36" w:rsidRPr="00730D36">
        <w:rPr>
          <w:rFonts w:ascii="Arial" w:hAnsi="Arial" w:cs="Arial"/>
        </w:rPr>
        <w:t>,</w:t>
      </w:r>
      <w:r w:rsidR="00BA5754" w:rsidRPr="00730D36">
        <w:rPr>
          <w:rFonts w:ascii="Arial" w:hAnsi="Arial" w:cs="Arial"/>
        </w:rPr>
        <w:t xml:space="preserve"> but not both at the same time.  </w:t>
      </w:r>
      <w:r w:rsidR="00EE6F4A" w:rsidRPr="00730D36">
        <w:rPr>
          <w:rFonts w:ascii="Arial" w:hAnsi="Arial" w:cs="Arial"/>
        </w:rPr>
        <w:t>The Customer and the Service Provider will need to define an “ARC/RRC exchange rate” between</w:t>
      </w:r>
      <w:r w:rsidR="00730D36" w:rsidRPr="00730D36">
        <w:rPr>
          <w:rFonts w:ascii="Arial" w:hAnsi="Arial" w:cs="Arial"/>
        </w:rPr>
        <w:t xml:space="preserve"> the different service towers: D</w:t>
      </w:r>
      <w:r w:rsidR="00EE6F4A" w:rsidRPr="00730D36">
        <w:rPr>
          <w:rFonts w:ascii="Arial" w:hAnsi="Arial" w:cs="Arial"/>
        </w:rPr>
        <w:t xml:space="preserve">oes an increase or reduction in one resource unit of service tower A equate to an increase or reduction </w:t>
      </w:r>
      <w:r w:rsidR="00325F8B" w:rsidRPr="00730D36">
        <w:rPr>
          <w:rFonts w:ascii="Arial" w:hAnsi="Arial" w:cs="Arial"/>
        </w:rPr>
        <w:t>of one resource unit of service tower B, or does a weighting factor/exchange rate need to be applied</w:t>
      </w:r>
      <w:r w:rsidR="00B6472D">
        <w:rPr>
          <w:rFonts w:ascii="Arial" w:hAnsi="Arial" w:cs="Arial"/>
        </w:rPr>
        <w:t xml:space="preserve"> and what is the price impact</w:t>
      </w:r>
      <w:r w:rsidR="0018078E" w:rsidRPr="00730D36">
        <w:rPr>
          <w:rFonts w:ascii="Arial" w:hAnsi="Arial" w:cs="Arial"/>
        </w:rPr>
        <w:t>?</w:t>
      </w:r>
      <w:r w:rsidR="00EE6F4A" w:rsidRPr="00730D36">
        <w:rPr>
          <w:rFonts w:ascii="Arial" w:hAnsi="Arial" w:cs="Arial"/>
        </w:rPr>
        <w:t xml:space="preserve">  </w:t>
      </w:r>
      <w:r w:rsidR="00BA5754" w:rsidRPr="00730D36">
        <w:rPr>
          <w:rFonts w:ascii="Arial" w:hAnsi="Arial" w:cs="Arial"/>
        </w:rPr>
        <w:t>This will</w:t>
      </w:r>
      <w:r w:rsidR="00325F8B" w:rsidRPr="00730D36">
        <w:rPr>
          <w:rFonts w:ascii="Arial" w:hAnsi="Arial" w:cs="Arial"/>
        </w:rPr>
        <w:t xml:space="preserve"> also</w:t>
      </w:r>
      <w:r w:rsidR="00BA5754" w:rsidRPr="00730D36">
        <w:rPr>
          <w:rFonts w:ascii="Arial" w:hAnsi="Arial" w:cs="Arial"/>
        </w:rPr>
        <w:t xml:space="preserve"> push </w:t>
      </w:r>
      <w:r w:rsidR="006A5AE8" w:rsidRPr="00730D36">
        <w:rPr>
          <w:rFonts w:ascii="Arial" w:hAnsi="Arial" w:cs="Arial"/>
        </w:rPr>
        <w:t xml:space="preserve">the Customer and the Service Provider to place </w:t>
      </w:r>
      <w:r w:rsidR="00BA5754" w:rsidRPr="00730D36">
        <w:rPr>
          <w:rFonts w:ascii="Arial" w:hAnsi="Arial" w:cs="Arial"/>
        </w:rPr>
        <w:t xml:space="preserve">more emphasis on </w:t>
      </w:r>
      <w:r w:rsidR="006A5AE8" w:rsidRPr="00730D36">
        <w:rPr>
          <w:rFonts w:ascii="Arial" w:hAnsi="Arial" w:cs="Arial"/>
        </w:rPr>
        <w:t xml:space="preserve">accurate </w:t>
      </w:r>
      <w:r w:rsidR="00BA5754" w:rsidRPr="00730D36">
        <w:rPr>
          <w:rFonts w:ascii="Arial" w:hAnsi="Arial" w:cs="Arial"/>
        </w:rPr>
        <w:t>forecasting and reporting</w:t>
      </w:r>
      <w:r w:rsidR="006A5AE8" w:rsidRPr="00730D36">
        <w:rPr>
          <w:rFonts w:ascii="Arial" w:hAnsi="Arial" w:cs="Arial"/>
        </w:rPr>
        <w:t xml:space="preserve"> of </w:t>
      </w:r>
      <w:r w:rsidR="00B6472D">
        <w:rPr>
          <w:rFonts w:ascii="Arial" w:hAnsi="Arial" w:cs="Arial"/>
        </w:rPr>
        <w:t xml:space="preserve">resource </w:t>
      </w:r>
      <w:r w:rsidR="006A5AE8" w:rsidRPr="00730D36">
        <w:rPr>
          <w:rFonts w:ascii="Arial" w:hAnsi="Arial" w:cs="Arial"/>
        </w:rPr>
        <w:t xml:space="preserve"> consumption</w:t>
      </w:r>
      <w:r w:rsidR="00BA5754" w:rsidRPr="00730D36">
        <w:rPr>
          <w:rFonts w:ascii="Arial" w:hAnsi="Arial" w:cs="Arial"/>
        </w:rPr>
        <w:t xml:space="preserve"> and </w:t>
      </w:r>
      <w:r w:rsidR="006A5AE8" w:rsidRPr="00730D36">
        <w:rPr>
          <w:rFonts w:ascii="Arial" w:hAnsi="Arial" w:cs="Arial"/>
        </w:rPr>
        <w:t xml:space="preserve">to impose limits </w:t>
      </w:r>
      <w:r w:rsidR="00BA5754" w:rsidRPr="00730D36">
        <w:rPr>
          <w:rFonts w:ascii="Arial" w:hAnsi="Arial" w:cs="Arial"/>
        </w:rPr>
        <w:t>on the size of the aggregate ARCs and RRCs</w:t>
      </w:r>
      <w:r w:rsidR="0018078E" w:rsidRPr="00730D36">
        <w:rPr>
          <w:rFonts w:ascii="Arial" w:hAnsi="Arial" w:cs="Arial"/>
        </w:rPr>
        <w:t>.</w:t>
      </w:r>
    </w:p>
    <w:p w:rsidR="00BA5754" w:rsidRPr="00730D36" w:rsidRDefault="00BA5754" w:rsidP="008C2DA1">
      <w:pPr>
        <w:tabs>
          <w:tab w:val="left" w:pos="720"/>
          <w:tab w:val="left" w:pos="1440"/>
        </w:tabs>
        <w:rPr>
          <w:rFonts w:ascii="Arial" w:hAnsi="Arial" w:cs="Arial"/>
        </w:rPr>
      </w:pPr>
    </w:p>
    <w:p w:rsidR="00BA5754" w:rsidRPr="00730D36" w:rsidRDefault="006A5AE8" w:rsidP="008C2DA1">
      <w:pPr>
        <w:tabs>
          <w:tab w:val="left" w:pos="720"/>
          <w:tab w:val="left" w:pos="1440"/>
        </w:tabs>
        <w:ind w:left="720" w:hanging="720"/>
        <w:rPr>
          <w:rFonts w:ascii="Arial" w:hAnsi="Arial" w:cs="Arial"/>
        </w:rPr>
      </w:pPr>
      <w:r w:rsidRPr="00730D36">
        <w:rPr>
          <w:rFonts w:ascii="Arial" w:hAnsi="Arial" w:cs="Arial"/>
        </w:rPr>
        <w:t>3.</w:t>
      </w:r>
      <w:r w:rsidR="008C2DA1" w:rsidRPr="00730D36">
        <w:rPr>
          <w:rFonts w:ascii="Arial" w:hAnsi="Arial" w:cs="Arial"/>
        </w:rPr>
        <w:tab/>
      </w:r>
      <w:r w:rsidR="00EE6F4A" w:rsidRPr="00730D36">
        <w:rPr>
          <w:rFonts w:ascii="Arial" w:hAnsi="Arial" w:cs="Arial"/>
        </w:rPr>
        <w:t>Outsourcing agreements that use the ARC and RRC methodology will often impose</w:t>
      </w:r>
      <w:r w:rsidR="00BA5754" w:rsidRPr="00730D36">
        <w:rPr>
          <w:rFonts w:ascii="Arial" w:hAnsi="Arial" w:cs="Arial"/>
        </w:rPr>
        <w:t xml:space="preserve"> annual (or other) limits on aggregate ARCs and RRCs.</w:t>
      </w:r>
      <w:r w:rsidR="00EE6F4A" w:rsidRPr="00730D36">
        <w:rPr>
          <w:rFonts w:ascii="Arial" w:hAnsi="Arial" w:cs="Arial"/>
        </w:rPr>
        <w:t xml:space="preserve">  For example, the Customer may be entitled to</w:t>
      </w:r>
      <w:r w:rsidR="00325F8B" w:rsidRPr="00730D36">
        <w:rPr>
          <w:rFonts w:ascii="Arial" w:hAnsi="Arial" w:cs="Arial"/>
        </w:rPr>
        <w:t xml:space="preserve"> increase or reduce resources by fifteen percent in any month so long as the annual increase or reduction is less than ten percent.  For the Customer, such an approach may be the only way to persuade the Service Provider to agree to ARC and RRC bands of sufficient size to accommodate normal demand fluctuations in the Customer’s business.  Provided the Service Provider is able to accommodate the resource fluctuations, the annual or other limits </w:t>
      </w:r>
      <w:r w:rsidR="0018078E" w:rsidRPr="00730D36">
        <w:rPr>
          <w:rFonts w:ascii="Arial" w:hAnsi="Arial" w:cs="Arial"/>
        </w:rPr>
        <w:t xml:space="preserve">will </w:t>
      </w:r>
      <w:r w:rsidR="00325F8B" w:rsidRPr="00730D36">
        <w:rPr>
          <w:rFonts w:ascii="Arial" w:hAnsi="Arial" w:cs="Arial"/>
        </w:rPr>
        <w:t xml:space="preserve">provide </w:t>
      </w:r>
      <w:r w:rsidR="0018078E" w:rsidRPr="00730D36">
        <w:rPr>
          <w:rFonts w:ascii="Arial" w:hAnsi="Arial" w:cs="Arial"/>
        </w:rPr>
        <w:t xml:space="preserve">the Service Provider with </w:t>
      </w:r>
      <w:r w:rsidR="00325F8B" w:rsidRPr="00730D36">
        <w:rPr>
          <w:rFonts w:ascii="Arial" w:hAnsi="Arial" w:cs="Arial"/>
        </w:rPr>
        <w:t xml:space="preserve">a way of protecting revenue over the term of the </w:t>
      </w:r>
      <w:r w:rsidR="0018078E" w:rsidRPr="00730D36">
        <w:rPr>
          <w:rFonts w:ascii="Arial" w:hAnsi="Arial" w:cs="Arial"/>
        </w:rPr>
        <w:t>O</w:t>
      </w:r>
      <w:r w:rsidR="00325F8B" w:rsidRPr="00730D36">
        <w:rPr>
          <w:rFonts w:ascii="Arial" w:hAnsi="Arial" w:cs="Arial"/>
        </w:rPr>
        <w:t xml:space="preserve">utsourcing </w:t>
      </w:r>
      <w:r w:rsidR="0018078E" w:rsidRPr="00730D36">
        <w:rPr>
          <w:rFonts w:ascii="Arial" w:hAnsi="Arial" w:cs="Arial"/>
        </w:rPr>
        <w:t>A</w:t>
      </w:r>
      <w:r w:rsidR="00325F8B" w:rsidRPr="00730D36">
        <w:rPr>
          <w:rFonts w:ascii="Arial" w:hAnsi="Arial" w:cs="Arial"/>
        </w:rPr>
        <w:t>greement.</w:t>
      </w:r>
    </w:p>
    <w:p w:rsidR="00BA5754" w:rsidRPr="00730D36" w:rsidRDefault="00BA5754" w:rsidP="008C2DA1">
      <w:pPr>
        <w:tabs>
          <w:tab w:val="left" w:pos="720"/>
          <w:tab w:val="left" w:pos="1440"/>
        </w:tabs>
        <w:rPr>
          <w:rFonts w:ascii="Arial" w:hAnsi="Arial" w:cs="Arial"/>
        </w:rPr>
      </w:pPr>
    </w:p>
    <w:p w:rsidR="00BA5754" w:rsidRPr="00730D36" w:rsidRDefault="00BA5754">
      <w:pPr>
        <w:rPr>
          <w:rFonts w:ascii="Arial" w:hAnsi="Arial" w:cs="Arial"/>
        </w:rPr>
      </w:pPr>
    </w:p>
    <w:p w:rsidR="00BA5754" w:rsidRPr="00BA5754" w:rsidRDefault="00BA5754">
      <w:pPr>
        <w:rPr>
          <w:rFonts w:ascii="Arial" w:hAnsi="Arial" w:cs="Arial"/>
        </w:rPr>
      </w:pPr>
    </w:p>
    <w:sectPr w:rsidR="00BA5754" w:rsidRPr="00BA5754" w:rsidSect="00E71A40">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C31" w:rsidRDefault="00543C31" w:rsidP="0065331B">
      <w:r>
        <w:separator/>
      </w:r>
    </w:p>
  </w:endnote>
  <w:endnote w:type="continuationSeparator" w:id="0">
    <w:p w:rsidR="00543C31" w:rsidRDefault="00543C31" w:rsidP="0065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C31" w:rsidRDefault="00543C31" w:rsidP="0065331B">
      <w:r>
        <w:separator/>
      </w:r>
    </w:p>
  </w:footnote>
  <w:footnote w:type="continuationSeparator" w:id="0">
    <w:p w:rsidR="00543C31" w:rsidRDefault="00543C31" w:rsidP="0065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BF2AC5C"/>
    <w:lvl w:ilvl="0" w:tplc="32568F1E">
      <w:start w:val="1"/>
      <w:numFmt w:val="lowerRoman"/>
      <w:lvlText w:val="%1."/>
      <w:lvlJc w:val="righ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2"/>
    <w:multiLevelType w:val="hybridMultilevel"/>
    <w:tmpl w:val="CEC8509C"/>
    <w:lvl w:ilvl="0" w:tplc="00000065">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628B44BB"/>
    <w:multiLevelType w:val="hybridMultilevel"/>
    <w:tmpl w:val="F5D6B07E"/>
    <w:lvl w:ilvl="0" w:tplc="1009001B">
      <w:start w:val="1"/>
      <w:numFmt w:val="lowerRoman"/>
      <w:lvlText w:val="%1."/>
      <w:lvlJc w:val="righ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63D52F5D"/>
    <w:multiLevelType w:val="hybridMultilevel"/>
    <w:tmpl w:val="94561498"/>
    <w:lvl w:ilvl="0" w:tplc="1009001B">
      <w:start w:val="1"/>
      <w:numFmt w:val="lowerRoman"/>
      <w:lvlText w:val="%1."/>
      <w:lvlJc w:val="righ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70984FC7"/>
    <w:multiLevelType w:val="hybridMultilevel"/>
    <w:tmpl w:val="A8B6EDC8"/>
    <w:lvl w:ilvl="0" w:tplc="1009001B">
      <w:start w:val="1"/>
      <w:numFmt w:val="lowerRoman"/>
      <w:lvlText w:val="%1."/>
      <w:lvlJc w:val="righ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7BBC31A3"/>
    <w:multiLevelType w:val="hybridMultilevel"/>
    <w:tmpl w:val="96AEFBB0"/>
    <w:lvl w:ilvl="0" w:tplc="70AAC7A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oNotDisplayPageBoundaries/>
  <w:proofState w:spelling="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BA5754"/>
    <w:rsid w:val="00060C1D"/>
    <w:rsid w:val="000709DA"/>
    <w:rsid w:val="000C41C5"/>
    <w:rsid w:val="000C641F"/>
    <w:rsid w:val="000E1470"/>
    <w:rsid w:val="00174088"/>
    <w:rsid w:val="0018078E"/>
    <w:rsid w:val="001D17A7"/>
    <w:rsid w:val="00210D5F"/>
    <w:rsid w:val="00220D9E"/>
    <w:rsid w:val="002A1349"/>
    <w:rsid w:val="002A6AD1"/>
    <w:rsid w:val="002F4720"/>
    <w:rsid w:val="002F4A35"/>
    <w:rsid w:val="0030157B"/>
    <w:rsid w:val="00325F8B"/>
    <w:rsid w:val="003338A8"/>
    <w:rsid w:val="00377F73"/>
    <w:rsid w:val="00543C31"/>
    <w:rsid w:val="00560098"/>
    <w:rsid w:val="005A4D09"/>
    <w:rsid w:val="005A7980"/>
    <w:rsid w:val="00616505"/>
    <w:rsid w:val="0065331B"/>
    <w:rsid w:val="006A5AE8"/>
    <w:rsid w:val="00730D36"/>
    <w:rsid w:val="007E20E9"/>
    <w:rsid w:val="008C2DA1"/>
    <w:rsid w:val="00967A86"/>
    <w:rsid w:val="00A23A0C"/>
    <w:rsid w:val="00A511FD"/>
    <w:rsid w:val="00A96B55"/>
    <w:rsid w:val="00AB71BD"/>
    <w:rsid w:val="00AE2A01"/>
    <w:rsid w:val="00AF0C14"/>
    <w:rsid w:val="00B0542A"/>
    <w:rsid w:val="00B6472D"/>
    <w:rsid w:val="00BA0EA6"/>
    <w:rsid w:val="00BA5754"/>
    <w:rsid w:val="00BA6201"/>
    <w:rsid w:val="00BC6023"/>
    <w:rsid w:val="00C05848"/>
    <w:rsid w:val="00C5388B"/>
    <w:rsid w:val="00C65B74"/>
    <w:rsid w:val="00C9583B"/>
    <w:rsid w:val="00CB764A"/>
    <w:rsid w:val="00D470FF"/>
    <w:rsid w:val="00E71A40"/>
    <w:rsid w:val="00E93B7C"/>
    <w:rsid w:val="00EE6F4A"/>
    <w:rsid w:val="00F04CF6"/>
    <w:rsid w:val="00F4128D"/>
    <w:rsid w:val="00FC242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54"/>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754"/>
    <w:pPr>
      <w:ind w:left="720"/>
    </w:pPr>
    <w:rPr>
      <w:sz w:val="24"/>
      <w:szCs w:val="24"/>
    </w:rPr>
  </w:style>
  <w:style w:type="paragraph" w:styleId="BalloonText">
    <w:name w:val="Balloon Text"/>
    <w:basedOn w:val="Normal"/>
    <w:link w:val="BalloonTextChar"/>
    <w:uiPriority w:val="99"/>
    <w:semiHidden/>
    <w:unhideWhenUsed/>
    <w:rsid w:val="00BA5754"/>
    <w:rPr>
      <w:rFonts w:ascii="Tahoma" w:hAnsi="Tahoma" w:cs="Tahoma"/>
      <w:sz w:val="16"/>
      <w:szCs w:val="16"/>
    </w:rPr>
  </w:style>
  <w:style w:type="character" w:customStyle="1" w:styleId="BalloonTextChar">
    <w:name w:val="Balloon Text Char"/>
    <w:basedOn w:val="DefaultParagraphFont"/>
    <w:link w:val="BalloonText"/>
    <w:uiPriority w:val="99"/>
    <w:semiHidden/>
    <w:rsid w:val="00BA5754"/>
    <w:rPr>
      <w:rFonts w:ascii="Tahoma" w:hAnsi="Tahoma" w:cs="Tahoma"/>
      <w:sz w:val="16"/>
      <w:szCs w:val="16"/>
      <w:lang w:eastAsia="en-CA"/>
    </w:rPr>
  </w:style>
  <w:style w:type="paragraph" w:styleId="PlainText">
    <w:name w:val="Plain Text"/>
    <w:basedOn w:val="Normal"/>
    <w:link w:val="PlainTextChar"/>
    <w:uiPriority w:val="99"/>
    <w:semiHidden/>
    <w:unhideWhenUsed/>
    <w:rsid w:val="00BA5754"/>
    <w:rPr>
      <w:rFonts w:ascii="Arial" w:eastAsia="Times New Roman" w:hAnsi="Arial"/>
      <w:szCs w:val="21"/>
      <w:lang w:eastAsia="en-US"/>
    </w:rPr>
  </w:style>
  <w:style w:type="character" w:customStyle="1" w:styleId="PlainTextChar">
    <w:name w:val="Plain Text Char"/>
    <w:basedOn w:val="DefaultParagraphFont"/>
    <w:link w:val="PlainText"/>
    <w:uiPriority w:val="99"/>
    <w:semiHidden/>
    <w:rsid w:val="00BA5754"/>
    <w:rPr>
      <w:rFonts w:ascii="Arial" w:eastAsia="Times New Roman" w:hAnsi="Arial" w:cs="Times New Roman"/>
      <w:szCs w:val="21"/>
    </w:rPr>
  </w:style>
  <w:style w:type="paragraph" w:styleId="Header">
    <w:name w:val="header"/>
    <w:basedOn w:val="Normal"/>
    <w:link w:val="HeaderChar"/>
    <w:uiPriority w:val="99"/>
    <w:unhideWhenUsed/>
    <w:rsid w:val="0065331B"/>
    <w:pPr>
      <w:tabs>
        <w:tab w:val="center" w:pos="4680"/>
        <w:tab w:val="right" w:pos="9360"/>
      </w:tabs>
    </w:pPr>
  </w:style>
  <w:style w:type="character" w:customStyle="1" w:styleId="HeaderChar">
    <w:name w:val="Header Char"/>
    <w:basedOn w:val="DefaultParagraphFont"/>
    <w:link w:val="Header"/>
    <w:uiPriority w:val="99"/>
    <w:rsid w:val="0065331B"/>
    <w:rPr>
      <w:rFonts w:ascii="Calibri" w:hAnsi="Calibri" w:cs="Times New Roman"/>
      <w:lang w:eastAsia="en-CA"/>
    </w:rPr>
  </w:style>
  <w:style w:type="paragraph" w:styleId="Footer">
    <w:name w:val="footer"/>
    <w:basedOn w:val="Normal"/>
    <w:link w:val="FooterChar"/>
    <w:uiPriority w:val="99"/>
    <w:unhideWhenUsed/>
    <w:rsid w:val="0065331B"/>
    <w:pPr>
      <w:tabs>
        <w:tab w:val="center" w:pos="4680"/>
        <w:tab w:val="right" w:pos="9360"/>
      </w:tabs>
    </w:pPr>
  </w:style>
  <w:style w:type="character" w:customStyle="1" w:styleId="FooterChar">
    <w:name w:val="Footer Char"/>
    <w:basedOn w:val="DefaultParagraphFont"/>
    <w:link w:val="Footer"/>
    <w:uiPriority w:val="99"/>
    <w:rsid w:val="0065331B"/>
    <w:rPr>
      <w:rFonts w:ascii="Calibri" w:hAnsi="Calibri" w:cs="Times New Roman"/>
      <w:lang w:eastAsia="en-CA"/>
    </w:rPr>
  </w:style>
  <w:style w:type="character" w:styleId="CommentReference">
    <w:name w:val="annotation reference"/>
    <w:basedOn w:val="DefaultParagraphFont"/>
    <w:uiPriority w:val="99"/>
    <w:semiHidden/>
    <w:unhideWhenUsed/>
    <w:rsid w:val="00A96B55"/>
    <w:rPr>
      <w:sz w:val="16"/>
      <w:szCs w:val="16"/>
    </w:rPr>
  </w:style>
  <w:style w:type="paragraph" w:styleId="CommentText">
    <w:name w:val="annotation text"/>
    <w:basedOn w:val="Normal"/>
    <w:link w:val="CommentTextChar"/>
    <w:uiPriority w:val="99"/>
    <w:unhideWhenUsed/>
    <w:rsid w:val="00A96B55"/>
    <w:rPr>
      <w:sz w:val="20"/>
      <w:szCs w:val="20"/>
    </w:rPr>
  </w:style>
  <w:style w:type="character" w:customStyle="1" w:styleId="CommentTextChar">
    <w:name w:val="Comment Text Char"/>
    <w:basedOn w:val="DefaultParagraphFont"/>
    <w:link w:val="CommentText"/>
    <w:uiPriority w:val="99"/>
    <w:rsid w:val="00A96B55"/>
    <w:rPr>
      <w:rFonts w:ascii="Calibri" w:hAnsi="Calibri"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A96B55"/>
    <w:rPr>
      <w:b/>
      <w:bCs/>
    </w:rPr>
  </w:style>
  <w:style w:type="character" w:customStyle="1" w:styleId="CommentSubjectChar">
    <w:name w:val="Comment Subject Char"/>
    <w:basedOn w:val="CommentTextChar"/>
    <w:link w:val="CommentSubject"/>
    <w:uiPriority w:val="99"/>
    <w:semiHidden/>
    <w:rsid w:val="00A96B55"/>
    <w:rPr>
      <w:rFonts w:ascii="Calibri" w:hAnsi="Calibri" w:cs="Times New Roman"/>
      <w:b/>
      <w:bCs/>
      <w:sz w:val="20"/>
      <w:szCs w:val="20"/>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754"/>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754"/>
    <w:pPr>
      <w:ind w:left="720"/>
    </w:pPr>
    <w:rPr>
      <w:sz w:val="24"/>
      <w:szCs w:val="24"/>
    </w:rPr>
  </w:style>
  <w:style w:type="paragraph" w:styleId="BalloonText">
    <w:name w:val="Balloon Text"/>
    <w:basedOn w:val="Normal"/>
    <w:link w:val="BalloonTextChar"/>
    <w:uiPriority w:val="99"/>
    <w:semiHidden/>
    <w:unhideWhenUsed/>
    <w:rsid w:val="00BA5754"/>
    <w:rPr>
      <w:rFonts w:ascii="Tahoma" w:hAnsi="Tahoma" w:cs="Tahoma"/>
      <w:sz w:val="16"/>
      <w:szCs w:val="16"/>
    </w:rPr>
  </w:style>
  <w:style w:type="character" w:customStyle="1" w:styleId="BalloonTextChar">
    <w:name w:val="Balloon Text Char"/>
    <w:basedOn w:val="DefaultParagraphFont"/>
    <w:link w:val="BalloonText"/>
    <w:uiPriority w:val="99"/>
    <w:semiHidden/>
    <w:rsid w:val="00BA5754"/>
    <w:rPr>
      <w:rFonts w:ascii="Tahoma" w:hAnsi="Tahoma" w:cs="Tahoma"/>
      <w:sz w:val="16"/>
      <w:szCs w:val="16"/>
      <w:lang w:eastAsia="en-CA"/>
    </w:rPr>
  </w:style>
  <w:style w:type="paragraph" w:styleId="PlainText">
    <w:name w:val="Plain Text"/>
    <w:basedOn w:val="Normal"/>
    <w:link w:val="PlainTextChar"/>
    <w:uiPriority w:val="99"/>
    <w:semiHidden/>
    <w:unhideWhenUsed/>
    <w:rsid w:val="00BA5754"/>
    <w:rPr>
      <w:rFonts w:ascii="Arial" w:eastAsia="Times New Roman" w:hAnsi="Arial"/>
      <w:szCs w:val="21"/>
      <w:lang w:eastAsia="en-US"/>
    </w:rPr>
  </w:style>
  <w:style w:type="character" w:customStyle="1" w:styleId="PlainTextChar">
    <w:name w:val="Plain Text Char"/>
    <w:basedOn w:val="DefaultParagraphFont"/>
    <w:link w:val="PlainText"/>
    <w:uiPriority w:val="99"/>
    <w:semiHidden/>
    <w:rsid w:val="00BA5754"/>
    <w:rPr>
      <w:rFonts w:ascii="Arial" w:eastAsia="Times New Roman" w:hAnsi="Arial" w:cs="Times New Roman"/>
      <w:szCs w:val="21"/>
    </w:rPr>
  </w:style>
  <w:style w:type="paragraph" w:styleId="Header">
    <w:name w:val="header"/>
    <w:basedOn w:val="Normal"/>
    <w:link w:val="HeaderChar"/>
    <w:uiPriority w:val="99"/>
    <w:unhideWhenUsed/>
    <w:rsid w:val="0065331B"/>
    <w:pPr>
      <w:tabs>
        <w:tab w:val="center" w:pos="4680"/>
        <w:tab w:val="right" w:pos="9360"/>
      </w:tabs>
    </w:pPr>
  </w:style>
  <w:style w:type="character" w:customStyle="1" w:styleId="HeaderChar">
    <w:name w:val="Header Char"/>
    <w:basedOn w:val="DefaultParagraphFont"/>
    <w:link w:val="Header"/>
    <w:uiPriority w:val="99"/>
    <w:rsid w:val="0065331B"/>
    <w:rPr>
      <w:rFonts w:ascii="Calibri" w:hAnsi="Calibri" w:cs="Times New Roman"/>
      <w:lang w:eastAsia="en-CA"/>
    </w:rPr>
  </w:style>
  <w:style w:type="paragraph" w:styleId="Footer">
    <w:name w:val="footer"/>
    <w:basedOn w:val="Normal"/>
    <w:link w:val="FooterChar"/>
    <w:uiPriority w:val="99"/>
    <w:unhideWhenUsed/>
    <w:rsid w:val="0065331B"/>
    <w:pPr>
      <w:tabs>
        <w:tab w:val="center" w:pos="4680"/>
        <w:tab w:val="right" w:pos="9360"/>
      </w:tabs>
    </w:pPr>
  </w:style>
  <w:style w:type="character" w:customStyle="1" w:styleId="FooterChar">
    <w:name w:val="Footer Char"/>
    <w:basedOn w:val="DefaultParagraphFont"/>
    <w:link w:val="Footer"/>
    <w:uiPriority w:val="99"/>
    <w:rsid w:val="0065331B"/>
    <w:rPr>
      <w:rFonts w:ascii="Calibri" w:hAnsi="Calibri" w:cs="Times New Roman"/>
      <w:lang w:eastAsia="en-CA"/>
    </w:rPr>
  </w:style>
  <w:style w:type="character" w:styleId="CommentReference">
    <w:name w:val="annotation reference"/>
    <w:basedOn w:val="DefaultParagraphFont"/>
    <w:uiPriority w:val="99"/>
    <w:semiHidden/>
    <w:unhideWhenUsed/>
    <w:rsid w:val="00A96B55"/>
    <w:rPr>
      <w:sz w:val="16"/>
      <w:szCs w:val="16"/>
    </w:rPr>
  </w:style>
  <w:style w:type="paragraph" w:styleId="CommentText">
    <w:name w:val="annotation text"/>
    <w:basedOn w:val="Normal"/>
    <w:link w:val="CommentTextChar"/>
    <w:uiPriority w:val="99"/>
    <w:unhideWhenUsed/>
    <w:rsid w:val="00A96B55"/>
    <w:rPr>
      <w:sz w:val="20"/>
      <w:szCs w:val="20"/>
    </w:rPr>
  </w:style>
  <w:style w:type="character" w:customStyle="1" w:styleId="CommentTextChar">
    <w:name w:val="Comment Text Char"/>
    <w:basedOn w:val="DefaultParagraphFont"/>
    <w:link w:val="CommentText"/>
    <w:uiPriority w:val="99"/>
    <w:rsid w:val="00A96B55"/>
    <w:rPr>
      <w:rFonts w:ascii="Calibri" w:hAnsi="Calibri"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A96B55"/>
    <w:rPr>
      <w:b/>
      <w:bCs/>
    </w:rPr>
  </w:style>
  <w:style w:type="character" w:customStyle="1" w:styleId="CommentSubjectChar">
    <w:name w:val="Comment Subject Char"/>
    <w:basedOn w:val="CommentTextChar"/>
    <w:link w:val="CommentSubject"/>
    <w:uiPriority w:val="99"/>
    <w:semiHidden/>
    <w:rsid w:val="00A96B55"/>
    <w:rPr>
      <w:rFonts w:ascii="Calibri" w:hAnsi="Calibri" w:cs="Times New Roman"/>
      <w:b/>
      <w:bCs/>
      <w:sz w:val="20"/>
      <w:szCs w:val="20"/>
      <w:lang w:eastAsia="en-CA"/>
    </w:rPr>
  </w:style>
</w:styles>
</file>

<file path=word/webSettings.xml><?xml version="1.0" encoding="utf-8"?>
<w:webSettings xmlns:r="http://schemas.openxmlformats.org/officeDocument/2006/relationships" xmlns:w="http://schemas.openxmlformats.org/wordprocessingml/2006/main">
  <w:divs>
    <w:div w:id="156923283">
      <w:bodyDiv w:val="1"/>
      <w:marLeft w:val="0"/>
      <w:marRight w:val="0"/>
      <w:marTop w:val="0"/>
      <w:marBottom w:val="0"/>
      <w:divBdr>
        <w:top w:val="none" w:sz="0" w:space="0" w:color="auto"/>
        <w:left w:val="none" w:sz="0" w:space="0" w:color="auto"/>
        <w:bottom w:val="none" w:sz="0" w:space="0" w:color="auto"/>
        <w:right w:val="none" w:sz="0" w:space="0" w:color="auto"/>
      </w:divBdr>
    </w:div>
    <w:div w:id="622343689">
      <w:bodyDiv w:val="1"/>
      <w:marLeft w:val="0"/>
      <w:marRight w:val="0"/>
      <w:marTop w:val="0"/>
      <w:marBottom w:val="0"/>
      <w:divBdr>
        <w:top w:val="none" w:sz="0" w:space="0" w:color="auto"/>
        <w:left w:val="none" w:sz="0" w:space="0" w:color="auto"/>
        <w:bottom w:val="none" w:sz="0" w:space="0" w:color="auto"/>
        <w:right w:val="none" w:sz="0" w:space="0" w:color="auto"/>
      </w:divBdr>
    </w:div>
    <w:div w:id="200042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35032-FCD4-4323-844B-AE64E184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Merit Outsourcing Advisors</vt:lpstr>
    </vt:vector>
  </TitlesOfParts>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Merit Outsourcing Advisors</dc:title>
  <dc:creator/>
  <cp:lastModifiedBy/>
  <cp:revision>1</cp:revision>
  <dcterms:created xsi:type="dcterms:W3CDTF">2013-06-11T20:06:00Z</dcterms:created>
  <dcterms:modified xsi:type="dcterms:W3CDTF">2013-06-11T20:12:00Z</dcterms:modified>
</cp:coreProperties>
</file>